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7920E" w14:textId="77777777" w:rsidR="00BE756E" w:rsidRPr="00040209" w:rsidRDefault="00BE756E" w:rsidP="006F02F3">
      <w:pPr>
        <w:tabs>
          <w:tab w:val="left" w:pos="2970"/>
        </w:tabs>
        <w:jc w:val="center"/>
        <w:rPr>
          <w:b/>
          <w:caps/>
          <w:lang w:val="lt-LT"/>
        </w:rPr>
      </w:pPr>
      <w:bookmarkStart w:id="0" w:name="_GoBack"/>
      <w:bookmarkEnd w:id="0"/>
    </w:p>
    <w:p w14:paraId="42E7920F" w14:textId="0C8FDBD7" w:rsidR="006F02F3" w:rsidRDefault="004145A1" w:rsidP="006F02F3">
      <w:pPr>
        <w:tabs>
          <w:tab w:val="left" w:pos="2970"/>
        </w:tabs>
        <w:jc w:val="center"/>
        <w:rPr>
          <w:b/>
          <w:caps/>
          <w:lang w:val="lt-LT"/>
        </w:rPr>
      </w:pPr>
      <w:r>
        <w:rPr>
          <w:b/>
          <w:caps/>
          <w:lang w:val="lt-LT"/>
        </w:rPr>
        <w:t>VIEŠOSIOS ĮSTAIGOS</w:t>
      </w:r>
      <w:r w:rsidR="006F02F3">
        <w:rPr>
          <w:b/>
          <w:caps/>
          <w:lang w:val="lt-LT"/>
        </w:rPr>
        <w:t xml:space="preserve"> „VILNIAUS FESTIVALIAI“ </w:t>
      </w:r>
      <w:r w:rsidR="00871BE6">
        <w:rPr>
          <w:b/>
          <w:caps/>
          <w:lang w:val="lt-LT"/>
        </w:rPr>
        <w:t xml:space="preserve">ORGANIZUOJAMŲ </w:t>
      </w:r>
      <w:r w:rsidR="006F02F3">
        <w:rPr>
          <w:b/>
          <w:caps/>
          <w:lang w:val="lt-LT"/>
        </w:rPr>
        <w:t xml:space="preserve">RENGINIŲ </w:t>
      </w:r>
      <w:r w:rsidR="006F02F3" w:rsidRPr="00D05F7C">
        <w:rPr>
          <w:b/>
          <w:caps/>
          <w:lang w:val="lt-LT"/>
        </w:rPr>
        <w:t>bilietų kainos</w:t>
      </w:r>
      <w:r w:rsidR="00871BE6">
        <w:rPr>
          <w:b/>
          <w:caps/>
          <w:lang w:val="lt-LT"/>
        </w:rPr>
        <w:t>*</w:t>
      </w:r>
    </w:p>
    <w:p w14:paraId="05F17976" w14:textId="77777777" w:rsidR="00BF310F" w:rsidRPr="00040209" w:rsidRDefault="00BF310F" w:rsidP="006F02F3">
      <w:pPr>
        <w:tabs>
          <w:tab w:val="left" w:pos="2970"/>
        </w:tabs>
        <w:jc w:val="center"/>
        <w:rPr>
          <w:b/>
          <w:caps/>
          <w:sz w:val="28"/>
          <w:szCs w:val="28"/>
          <w:lang w:val="lt-LT"/>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707"/>
        <w:gridCol w:w="992"/>
        <w:gridCol w:w="1105"/>
        <w:gridCol w:w="3261"/>
        <w:gridCol w:w="7087"/>
      </w:tblGrid>
      <w:tr w:rsidR="006F02F3" w:rsidRPr="00F71A4E" w14:paraId="42E79216" w14:textId="77777777" w:rsidTr="0079413F">
        <w:trPr>
          <w:trHeight w:val="346"/>
        </w:trPr>
        <w:tc>
          <w:tcPr>
            <w:tcW w:w="590" w:type="dxa"/>
            <w:vMerge w:val="restart"/>
            <w:shd w:val="clear" w:color="auto" w:fill="D9D9D9"/>
            <w:vAlign w:val="center"/>
          </w:tcPr>
          <w:p w14:paraId="42E79211" w14:textId="77777777" w:rsidR="006F02F3" w:rsidRPr="00F71A4E" w:rsidRDefault="006F02F3" w:rsidP="0002000C">
            <w:pPr>
              <w:tabs>
                <w:tab w:val="left" w:pos="2970"/>
              </w:tabs>
              <w:ind w:left="-108" w:right="-108"/>
              <w:jc w:val="center"/>
              <w:rPr>
                <w:b/>
                <w:lang w:val="lt-LT"/>
              </w:rPr>
            </w:pPr>
            <w:r w:rsidRPr="00F71A4E">
              <w:rPr>
                <w:b/>
                <w:lang w:val="lt-LT"/>
              </w:rPr>
              <w:t xml:space="preserve">Eilės </w:t>
            </w:r>
            <w:proofErr w:type="spellStart"/>
            <w:r w:rsidRPr="00F71A4E">
              <w:rPr>
                <w:b/>
                <w:lang w:val="lt-LT"/>
              </w:rPr>
              <w:t>nr.</w:t>
            </w:r>
            <w:proofErr w:type="spellEnd"/>
          </w:p>
        </w:tc>
        <w:tc>
          <w:tcPr>
            <w:tcW w:w="1707" w:type="dxa"/>
            <w:vMerge w:val="restart"/>
            <w:shd w:val="clear" w:color="auto" w:fill="D9D9D9"/>
            <w:vAlign w:val="center"/>
          </w:tcPr>
          <w:p w14:paraId="42E79212" w14:textId="77777777" w:rsidR="006F02F3" w:rsidRPr="00F71A4E" w:rsidRDefault="006F02F3" w:rsidP="0002000C">
            <w:pPr>
              <w:tabs>
                <w:tab w:val="left" w:pos="2970"/>
              </w:tabs>
              <w:jc w:val="center"/>
              <w:rPr>
                <w:b/>
                <w:lang w:val="lt-LT"/>
              </w:rPr>
            </w:pPr>
            <w:r w:rsidRPr="00F71A4E">
              <w:rPr>
                <w:b/>
                <w:lang w:val="lt-LT"/>
              </w:rPr>
              <w:t>Veiklos pavadinimas</w:t>
            </w:r>
          </w:p>
        </w:tc>
        <w:tc>
          <w:tcPr>
            <w:tcW w:w="992" w:type="dxa"/>
            <w:vMerge w:val="restart"/>
            <w:shd w:val="clear" w:color="auto" w:fill="D9D9D9"/>
            <w:vAlign w:val="center"/>
          </w:tcPr>
          <w:p w14:paraId="42E79213" w14:textId="77777777" w:rsidR="006F02F3" w:rsidRPr="00F71A4E" w:rsidRDefault="006F02F3" w:rsidP="0002000C">
            <w:pPr>
              <w:tabs>
                <w:tab w:val="left" w:pos="2970"/>
              </w:tabs>
              <w:ind w:left="-108" w:right="-108"/>
              <w:jc w:val="center"/>
              <w:rPr>
                <w:b/>
                <w:lang w:val="lt-LT"/>
              </w:rPr>
            </w:pPr>
            <w:r>
              <w:rPr>
                <w:b/>
                <w:lang w:val="lt-LT"/>
              </w:rPr>
              <w:t>Bilietų kainos (Eur)</w:t>
            </w:r>
          </w:p>
        </w:tc>
        <w:tc>
          <w:tcPr>
            <w:tcW w:w="1105" w:type="dxa"/>
            <w:vMerge w:val="restart"/>
            <w:shd w:val="clear" w:color="auto" w:fill="D9D9D9"/>
            <w:vAlign w:val="center"/>
          </w:tcPr>
          <w:p w14:paraId="42E79214" w14:textId="77777777" w:rsidR="006F02F3" w:rsidRPr="00F71A4E" w:rsidRDefault="006F02F3" w:rsidP="0002000C">
            <w:pPr>
              <w:tabs>
                <w:tab w:val="left" w:pos="2970"/>
              </w:tabs>
              <w:ind w:left="-108" w:right="-108"/>
              <w:jc w:val="center"/>
              <w:rPr>
                <w:b/>
                <w:lang w:val="lt-LT"/>
              </w:rPr>
            </w:pPr>
            <w:r>
              <w:rPr>
                <w:b/>
                <w:lang w:val="lt-LT"/>
              </w:rPr>
              <w:t>Renginio vietos eilės nr.</w:t>
            </w:r>
          </w:p>
        </w:tc>
        <w:tc>
          <w:tcPr>
            <w:tcW w:w="10348" w:type="dxa"/>
            <w:gridSpan w:val="2"/>
            <w:vMerge w:val="restart"/>
            <w:shd w:val="clear" w:color="auto" w:fill="D9D9D9"/>
            <w:vAlign w:val="center"/>
          </w:tcPr>
          <w:p w14:paraId="42E79215" w14:textId="77777777" w:rsidR="006F02F3" w:rsidRPr="00F71A4E" w:rsidRDefault="006F02F3" w:rsidP="0002000C">
            <w:pPr>
              <w:tabs>
                <w:tab w:val="left" w:pos="2970"/>
              </w:tabs>
              <w:jc w:val="center"/>
              <w:rPr>
                <w:b/>
                <w:lang w:val="lt-LT"/>
              </w:rPr>
            </w:pPr>
            <w:r w:rsidRPr="00F71A4E">
              <w:rPr>
                <w:b/>
                <w:lang w:val="lt-LT"/>
              </w:rPr>
              <w:t>Pastabos</w:t>
            </w:r>
          </w:p>
        </w:tc>
      </w:tr>
      <w:tr w:rsidR="006F02F3" w:rsidRPr="00F71A4E" w14:paraId="42E7921C" w14:textId="77777777" w:rsidTr="0079413F">
        <w:trPr>
          <w:trHeight w:val="276"/>
        </w:trPr>
        <w:tc>
          <w:tcPr>
            <w:tcW w:w="590" w:type="dxa"/>
            <w:vMerge/>
            <w:shd w:val="clear" w:color="auto" w:fill="D9D9D9"/>
            <w:vAlign w:val="center"/>
          </w:tcPr>
          <w:p w14:paraId="42E79217" w14:textId="77777777" w:rsidR="006F02F3" w:rsidRPr="00F71A4E" w:rsidRDefault="006F02F3" w:rsidP="0002000C">
            <w:pPr>
              <w:tabs>
                <w:tab w:val="left" w:pos="2970"/>
              </w:tabs>
              <w:jc w:val="center"/>
              <w:rPr>
                <w:b/>
                <w:lang w:val="lt-LT"/>
              </w:rPr>
            </w:pPr>
          </w:p>
        </w:tc>
        <w:tc>
          <w:tcPr>
            <w:tcW w:w="1707" w:type="dxa"/>
            <w:vMerge/>
            <w:shd w:val="clear" w:color="auto" w:fill="D9D9D9"/>
            <w:vAlign w:val="center"/>
          </w:tcPr>
          <w:p w14:paraId="42E79218" w14:textId="77777777" w:rsidR="006F02F3" w:rsidRPr="00F71A4E" w:rsidRDefault="006F02F3" w:rsidP="0002000C">
            <w:pPr>
              <w:tabs>
                <w:tab w:val="left" w:pos="2970"/>
              </w:tabs>
              <w:jc w:val="center"/>
              <w:rPr>
                <w:b/>
                <w:lang w:val="lt-LT"/>
              </w:rPr>
            </w:pPr>
          </w:p>
        </w:tc>
        <w:tc>
          <w:tcPr>
            <w:tcW w:w="992" w:type="dxa"/>
            <w:vMerge/>
            <w:shd w:val="clear" w:color="auto" w:fill="F2F2F2"/>
            <w:vAlign w:val="center"/>
          </w:tcPr>
          <w:p w14:paraId="42E79219" w14:textId="77777777" w:rsidR="006F02F3" w:rsidRPr="00F71A4E" w:rsidRDefault="006F02F3" w:rsidP="0002000C">
            <w:pPr>
              <w:tabs>
                <w:tab w:val="left" w:pos="2970"/>
              </w:tabs>
              <w:ind w:left="-108" w:right="-108"/>
              <w:jc w:val="center"/>
              <w:rPr>
                <w:b/>
                <w:lang w:val="lt-LT"/>
              </w:rPr>
            </w:pPr>
          </w:p>
        </w:tc>
        <w:tc>
          <w:tcPr>
            <w:tcW w:w="1105" w:type="dxa"/>
            <w:vMerge/>
            <w:shd w:val="clear" w:color="auto" w:fill="F2F2F2"/>
            <w:vAlign w:val="center"/>
          </w:tcPr>
          <w:p w14:paraId="42E7921A" w14:textId="77777777" w:rsidR="006F02F3" w:rsidRPr="00F71A4E" w:rsidRDefault="006F02F3" w:rsidP="0002000C">
            <w:pPr>
              <w:tabs>
                <w:tab w:val="left" w:pos="2970"/>
              </w:tabs>
              <w:jc w:val="center"/>
              <w:rPr>
                <w:b/>
                <w:lang w:val="lt-LT"/>
              </w:rPr>
            </w:pPr>
          </w:p>
        </w:tc>
        <w:tc>
          <w:tcPr>
            <w:tcW w:w="10348" w:type="dxa"/>
            <w:gridSpan w:val="2"/>
            <w:vMerge/>
            <w:shd w:val="clear" w:color="auto" w:fill="D9D9D9"/>
            <w:vAlign w:val="center"/>
          </w:tcPr>
          <w:p w14:paraId="42E7921B" w14:textId="77777777" w:rsidR="006F02F3" w:rsidRPr="00F71A4E" w:rsidRDefault="006F02F3" w:rsidP="0002000C">
            <w:pPr>
              <w:tabs>
                <w:tab w:val="left" w:pos="2970"/>
              </w:tabs>
              <w:jc w:val="center"/>
              <w:rPr>
                <w:b/>
                <w:lang w:val="lt-LT"/>
              </w:rPr>
            </w:pPr>
          </w:p>
        </w:tc>
      </w:tr>
      <w:tr w:rsidR="006F02F3" w:rsidRPr="00F71A4E" w14:paraId="42E79223" w14:textId="77777777" w:rsidTr="0079413F">
        <w:trPr>
          <w:trHeight w:val="567"/>
        </w:trPr>
        <w:tc>
          <w:tcPr>
            <w:tcW w:w="590" w:type="dxa"/>
            <w:shd w:val="clear" w:color="auto" w:fill="auto"/>
            <w:vAlign w:val="center"/>
          </w:tcPr>
          <w:p w14:paraId="42E7921D" w14:textId="77777777" w:rsidR="006F02F3" w:rsidRPr="006B6071" w:rsidRDefault="006F02F3" w:rsidP="0002000C">
            <w:pPr>
              <w:tabs>
                <w:tab w:val="left" w:pos="2970"/>
              </w:tabs>
              <w:jc w:val="center"/>
              <w:rPr>
                <w:color w:val="000000" w:themeColor="text1"/>
                <w:lang w:val="lt-LT"/>
              </w:rPr>
            </w:pPr>
            <w:r w:rsidRPr="006B6071">
              <w:rPr>
                <w:color w:val="000000" w:themeColor="text1"/>
                <w:lang w:val="lt-LT"/>
              </w:rPr>
              <w:t>1.</w:t>
            </w:r>
          </w:p>
        </w:tc>
        <w:tc>
          <w:tcPr>
            <w:tcW w:w="1707" w:type="dxa"/>
            <w:vMerge w:val="restart"/>
            <w:shd w:val="clear" w:color="auto" w:fill="auto"/>
            <w:vAlign w:val="center"/>
          </w:tcPr>
          <w:p w14:paraId="6B34A140" w14:textId="77777777" w:rsidR="00BF310F" w:rsidRDefault="006F02F3" w:rsidP="00BF310F">
            <w:pPr>
              <w:tabs>
                <w:tab w:val="left" w:pos="2970"/>
              </w:tabs>
              <w:ind w:left="-130" w:right="-108"/>
              <w:jc w:val="center"/>
              <w:rPr>
                <w:color w:val="000000" w:themeColor="text1"/>
                <w:lang w:val="lt-LT"/>
              </w:rPr>
            </w:pPr>
            <w:r w:rsidRPr="006B6071">
              <w:rPr>
                <w:color w:val="000000" w:themeColor="text1"/>
                <w:lang w:val="lt-LT"/>
              </w:rPr>
              <w:t xml:space="preserve">Tarptautinių festivalių </w:t>
            </w:r>
          </w:p>
          <w:p w14:paraId="735C92EA" w14:textId="77777777" w:rsidR="00BF310F" w:rsidRDefault="006F02F3" w:rsidP="00BF310F">
            <w:pPr>
              <w:tabs>
                <w:tab w:val="left" w:pos="2970"/>
              </w:tabs>
              <w:ind w:left="-130" w:right="-108"/>
              <w:jc w:val="center"/>
              <w:rPr>
                <w:color w:val="000000" w:themeColor="text1"/>
                <w:lang w:val="lt-LT"/>
              </w:rPr>
            </w:pPr>
            <w:r w:rsidRPr="006B6071">
              <w:rPr>
                <w:color w:val="000000" w:themeColor="text1"/>
                <w:lang w:val="lt-LT"/>
              </w:rPr>
              <w:t xml:space="preserve">renginiai – koncertai, spektakliai, profesionaliųjų  scenos menų projektai </w:t>
            </w:r>
          </w:p>
          <w:p w14:paraId="42E7921E" w14:textId="5D1B1760" w:rsidR="00BE756E" w:rsidRPr="006B6071" w:rsidRDefault="006F02F3" w:rsidP="00BF310F">
            <w:pPr>
              <w:tabs>
                <w:tab w:val="left" w:pos="2970"/>
              </w:tabs>
              <w:ind w:left="-130" w:right="-108"/>
              <w:jc w:val="center"/>
              <w:rPr>
                <w:color w:val="000000" w:themeColor="text1"/>
                <w:lang w:val="lt-LT"/>
              </w:rPr>
            </w:pPr>
            <w:r w:rsidRPr="006B6071">
              <w:rPr>
                <w:color w:val="000000" w:themeColor="text1"/>
                <w:lang w:val="lt-LT"/>
              </w:rPr>
              <w:t>(klasikinės ir šiuolaikinės</w:t>
            </w:r>
            <w:r w:rsidR="00BE756E" w:rsidRPr="006B6071">
              <w:rPr>
                <w:color w:val="000000" w:themeColor="text1"/>
                <w:lang w:val="lt-LT"/>
              </w:rPr>
              <w:t xml:space="preserve"> muzikos, teatro, </w:t>
            </w:r>
          </w:p>
          <w:p w14:paraId="42E7921F" w14:textId="77777777" w:rsidR="006F02F3" w:rsidRPr="006B6071" w:rsidRDefault="00BE756E" w:rsidP="00BF310F">
            <w:pPr>
              <w:tabs>
                <w:tab w:val="left" w:pos="2970"/>
              </w:tabs>
              <w:ind w:left="-130" w:right="-108"/>
              <w:jc w:val="center"/>
              <w:rPr>
                <w:color w:val="000000" w:themeColor="text1"/>
                <w:lang w:val="lt-LT"/>
              </w:rPr>
            </w:pPr>
            <w:r w:rsidRPr="006B6071">
              <w:rPr>
                <w:color w:val="000000" w:themeColor="text1"/>
                <w:lang w:val="lt-LT"/>
              </w:rPr>
              <w:t xml:space="preserve">šokio </w:t>
            </w:r>
            <w:r w:rsidR="006F02F3" w:rsidRPr="006B6071">
              <w:rPr>
                <w:color w:val="000000" w:themeColor="text1"/>
                <w:lang w:val="lt-LT"/>
              </w:rPr>
              <w:t>ir kt.)</w:t>
            </w:r>
          </w:p>
        </w:tc>
        <w:tc>
          <w:tcPr>
            <w:tcW w:w="992" w:type="dxa"/>
            <w:shd w:val="clear" w:color="auto" w:fill="auto"/>
            <w:vAlign w:val="center"/>
          </w:tcPr>
          <w:p w14:paraId="42E79220" w14:textId="77777777" w:rsidR="006F02F3" w:rsidRPr="006B6071" w:rsidRDefault="006F02F3" w:rsidP="0002000C">
            <w:pPr>
              <w:tabs>
                <w:tab w:val="left" w:pos="2970"/>
              </w:tabs>
              <w:ind w:left="-100" w:right="-111"/>
              <w:jc w:val="center"/>
              <w:rPr>
                <w:color w:val="000000" w:themeColor="text1"/>
                <w:lang w:val="lt-LT"/>
              </w:rPr>
            </w:pPr>
            <w:r w:rsidRPr="006B6071">
              <w:rPr>
                <w:color w:val="000000" w:themeColor="text1"/>
                <w:lang w:val="lt-LT"/>
              </w:rPr>
              <w:t>20–70</w:t>
            </w:r>
          </w:p>
        </w:tc>
        <w:tc>
          <w:tcPr>
            <w:tcW w:w="1105" w:type="dxa"/>
            <w:shd w:val="clear" w:color="auto" w:fill="auto"/>
            <w:vAlign w:val="center"/>
          </w:tcPr>
          <w:p w14:paraId="42E79221" w14:textId="77777777" w:rsidR="006F02F3" w:rsidRPr="006B6071" w:rsidRDefault="006F02F3" w:rsidP="0002000C">
            <w:pPr>
              <w:tabs>
                <w:tab w:val="left" w:pos="2970"/>
              </w:tabs>
              <w:ind w:left="-100" w:right="-111"/>
              <w:jc w:val="center"/>
              <w:rPr>
                <w:color w:val="000000" w:themeColor="text1"/>
                <w:lang w:val="lt-LT"/>
              </w:rPr>
            </w:pPr>
            <w:r w:rsidRPr="006B6071">
              <w:rPr>
                <w:color w:val="000000" w:themeColor="text1"/>
                <w:lang w:val="lt-LT"/>
              </w:rPr>
              <w:t>1–5</w:t>
            </w:r>
          </w:p>
        </w:tc>
        <w:tc>
          <w:tcPr>
            <w:tcW w:w="10348" w:type="dxa"/>
            <w:gridSpan w:val="2"/>
            <w:vMerge w:val="restart"/>
            <w:shd w:val="clear" w:color="auto" w:fill="auto"/>
            <w:vAlign w:val="center"/>
          </w:tcPr>
          <w:p w14:paraId="11E89727" w14:textId="0D8A26D7" w:rsidR="006B6071" w:rsidRDefault="006B6071" w:rsidP="007561E8">
            <w:pPr>
              <w:tabs>
                <w:tab w:val="left" w:pos="2970"/>
              </w:tabs>
              <w:jc w:val="both"/>
              <w:rPr>
                <w:color w:val="000000" w:themeColor="text1"/>
                <w:lang w:val="lt-LT"/>
              </w:rPr>
            </w:pPr>
            <w:r>
              <w:rPr>
                <w:color w:val="000000" w:themeColor="text1"/>
                <w:lang w:val="lt-LT"/>
              </w:rPr>
              <w:t>Tikslios bilietų kainos apskaič</w:t>
            </w:r>
            <w:r w:rsidR="002E2F5F">
              <w:rPr>
                <w:color w:val="000000" w:themeColor="text1"/>
                <w:lang w:val="lt-LT"/>
              </w:rPr>
              <w:t>iuojamos pagal formulę: BK = (B + R +</w:t>
            </w:r>
            <w:r>
              <w:rPr>
                <w:color w:val="000000" w:themeColor="text1"/>
                <w:lang w:val="lt-LT"/>
              </w:rPr>
              <w:t xml:space="preserve"> </w:t>
            </w:r>
            <w:r w:rsidR="005E05AB">
              <w:rPr>
                <w:color w:val="000000" w:themeColor="text1"/>
                <w:lang w:val="lt-LT"/>
              </w:rPr>
              <w:t>KR</w:t>
            </w:r>
            <w:r w:rsidR="002E2F5F">
              <w:rPr>
                <w:color w:val="000000" w:themeColor="text1"/>
                <w:lang w:val="lt-LT"/>
              </w:rPr>
              <w:t>)</w:t>
            </w:r>
            <w:r w:rsidR="005E05AB">
              <w:rPr>
                <w:color w:val="000000" w:themeColor="text1"/>
                <w:lang w:val="lt-LT"/>
              </w:rPr>
              <w:t xml:space="preserve"> × </w:t>
            </w:r>
            <w:r>
              <w:rPr>
                <w:color w:val="000000" w:themeColor="text1"/>
                <w:lang w:val="lt-LT"/>
              </w:rPr>
              <w:t>k, kur:</w:t>
            </w:r>
          </w:p>
          <w:p w14:paraId="45873BCB" w14:textId="3703DCB4" w:rsidR="006B6071" w:rsidRDefault="006B6071" w:rsidP="007561E8">
            <w:pPr>
              <w:tabs>
                <w:tab w:val="left" w:pos="2970"/>
              </w:tabs>
              <w:jc w:val="both"/>
              <w:rPr>
                <w:color w:val="000000" w:themeColor="text1"/>
                <w:lang w:val="lt-LT"/>
              </w:rPr>
            </w:pPr>
            <w:r>
              <w:rPr>
                <w:color w:val="000000" w:themeColor="text1"/>
                <w:lang w:val="lt-LT"/>
              </w:rPr>
              <w:t>BK – galutinė tarptautinių festivalių renginio bilieto kaina renginio lankytojams;</w:t>
            </w:r>
          </w:p>
          <w:p w14:paraId="7C5E15A5" w14:textId="3E723187" w:rsidR="006B6071" w:rsidRDefault="006B6071" w:rsidP="007561E8">
            <w:pPr>
              <w:tabs>
                <w:tab w:val="left" w:pos="2970"/>
              </w:tabs>
              <w:jc w:val="both"/>
              <w:rPr>
                <w:color w:val="000000" w:themeColor="text1"/>
                <w:lang w:val="lt-LT"/>
              </w:rPr>
            </w:pPr>
            <w:r>
              <w:rPr>
                <w:color w:val="000000" w:themeColor="text1"/>
                <w:lang w:val="lt-LT"/>
              </w:rPr>
              <w:t xml:space="preserve">B – </w:t>
            </w:r>
            <w:r w:rsidR="006F02F3" w:rsidRPr="006B6071">
              <w:rPr>
                <w:color w:val="000000" w:themeColor="text1"/>
                <w:lang w:val="lt-LT"/>
              </w:rPr>
              <w:t>profesionalių Lietuvos ir</w:t>
            </w:r>
            <w:r>
              <w:rPr>
                <w:color w:val="000000" w:themeColor="text1"/>
                <w:lang w:val="lt-LT"/>
              </w:rPr>
              <w:t xml:space="preserve"> (ar) užsienio atlikėjų atlyginimas kartu su </w:t>
            </w:r>
            <w:r w:rsidR="006F02F3" w:rsidRPr="006B6071">
              <w:rPr>
                <w:color w:val="000000" w:themeColor="text1"/>
                <w:lang w:val="lt-LT"/>
              </w:rPr>
              <w:t xml:space="preserve">pagal tuo metu Lietuvoje galiojančius įstatymus </w:t>
            </w:r>
            <w:r>
              <w:rPr>
                <w:color w:val="000000" w:themeColor="text1"/>
                <w:lang w:val="lt-LT"/>
              </w:rPr>
              <w:t>nustatytais</w:t>
            </w:r>
            <w:r w:rsidR="006F02F3" w:rsidRPr="006B6071">
              <w:rPr>
                <w:color w:val="000000" w:themeColor="text1"/>
                <w:lang w:val="lt-LT"/>
              </w:rPr>
              <w:t xml:space="preserve"> mokesčiai</w:t>
            </w:r>
            <w:r>
              <w:rPr>
                <w:color w:val="000000" w:themeColor="text1"/>
                <w:lang w:val="lt-LT"/>
              </w:rPr>
              <w:t>s;</w:t>
            </w:r>
          </w:p>
          <w:p w14:paraId="0077C311" w14:textId="05FEEF24" w:rsidR="006B6071" w:rsidRDefault="006B6071" w:rsidP="007561E8">
            <w:pPr>
              <w:tabs>
                <w:tab w:val="left" w:pos="2970"/>
              </w:tabs>
              <w:jc w:val="both"/>
              <w:rPr>
                <w:color w:val="000000" w:themeColor="text1"/>
                <w:lang w:val="lt-LT"/>
              </w:rPr>
            </w:pPr>
            <w:r>
              <w:rPr>
                <w:color w:val="000000" w:themeColor="text1"/>
                <w:lang w:val="lt-LT"/>
              </w:rPr>
              <w:t xml:space="preserve">R – </w:t>
            </w:r>
            <w:r w:rsidR="006F02F3" w:rsidRPr="006B6071">
              <w:rPr>
                <w:color w:val="000000" w:themeColor="text1"/>
                <w:lang w:val="lt-LT"/>
              </w:rPr>
              <w:t>r</w:t>
            </w:r>
            <w:r>
              <w:rPr>
                <w:color w:val="000000" w:themeColor="text1"/>
                <w:lang w:val="lt-LT"/>
              </w:rPr>
              <w:t>enginio įgarsinimo, apšvietimo, reklamos ir viešinimo išlaidos</w:t>
            </w:r>
            <w:r w:rsidR="006F02F3" w:rsidRPr="006B6071">
              <w:rPr>
                <w:color w:val="000000" w:themeColor="text1"/>
                <w:lang w:val="lt-LT"/>
              </w:rPr>
              <w:t>, renginių bilietų platinimo komisinis mok</w:t>
            </w:r>
            <w:r w:rsidR="005E05AB">
              <w:rPr>
                <w:color w:val="000000" w:themeColor="text1"/>
                <w:lang w:val="lt-LT"/>
              </w:rPr>
              <w:t>estis;</w:t>
            </w:r>
            <w:r w:rsidR="006F02F3" w:rsidRPr="006B6071">
              <w:rPr>
                <w:color w:val="000000" w:themeColor="text1"/>
                <w:lang w:val="lt-LT"/>
              </w:rPr>
              <w:t xml:space="preserve"> </w:t>
            </w:r>
          </w:p>
          <w:p w14:paraId="2CA79356" w14:textId="55A94E38" w:rsidR="006B6071" w:rsidRDefault="005E05AB" w:rsidP="007561E8">
            <w:pPr>
              <w:tabs>
                <w:tab w:val="left" w:pos="2970"/>
              </w:tabs>
              <w:jc w:val="both"/>
              <w:rPr>
                <w:color w:val="000000" w:themeColor="text1"/>
                <w:lang w:val="lt-LT"/>
              </w:rPr>
            </w:pPr>
            <w:r>
              <w:rPr>
                <w:color w:val="000000" w:themeColor="text1"/>
                <w:lang w:val="lt-LT"/>
              </w:rPr>
              <w:t>KR</w:t>
            </w:r>
            <w:r w:rsidR="006B6071">
              <w:rPr>
                <w:color w:val="000000" w:themeColor="text1"/>
                <w:lang w:val="lt-LT"/>
              </w:rPr>
              <w:t xml:space="preserve"> </w:t>
            </w:r>
            <w:r>
              <w:rPr>
                <w:color w:val="000000" w:themeColor="text1"/>
                <w:lang w:val="lt-LT"/>
              </w:rPr>
              <w:t>–</w:t>
            </w:r>
            <w:r w:rsidR="006B6071">
              <w:rPr>
                <w:color w:val="000000" w:themeColor="text1"/>
                <w:lang w:val="lt-LT"/>
              </w:rPr>
              <w:t xml:space="preserve"> </w:t>
            </w:r>
            <w:r w:rsidRPr="006B6071">
              <w:rPr>
                <w:color w:val="000000" w:themeColor="text1"/>
                <w:lang w:val="lt-LT"/>
              </w:rPr>
              <w:t>kitos su renginio organizavimu susijusios išlaidos (atlikėjų kelionės, apgyvendinimo ir maitinimo išlaidos, Lietuvos autorių teisių gynimo asociacijos agentūros, užsienio autorinių teisių agentūrų mokesčiai, Lietuvos gretutinių teisių asociacijos mokesčiai</w:t>
            </w:r>
            <w:r>
              <w:rPr>
                <w:color w:val="000000" w:themeColor="text1"/>
                <w:lang w:val="lt-LT"/>
              </w:rPr>
              <w:t xml:space="preserve"> ir kitos nenumatytos išlaidos);</w:t>
            </w:r>
          </w:p>
          <w:p w14:paraId="5B2A9202" w14:textId="49796077" w:rsidR="005E05AB" w:rsidRDefault="005E05AB" w:rsidP="007561E8">
            <w:pPr>
              <w:tabs>
                <w:tab w:val="left" w:pos="2970"/>
              </w:tabs>
              <w:jc w:val="both"/>
              <w:rPr>
                <w:color w:val="000000" w:themeColor="text1"/>
                <w:lang w:val="lt-LT"/>
              </w:rPr>
            </w:pPr>
            <w:r>
              <w:rPr>
                <w:color w:val="000000" w:themeColor="text1"/>
                <w:lang w:val="lt-LT"/>
              </w:rPr>
              <w:t>k – kainos kintamoji dalis, kurią sudaro</w:t>
            </w:r>
            <w:r w:rsidR="008942DF">
              <w:rPr>
                <w:color w:val="000000" w:themeColor="text1"/>
                <w:lang w:val="lt-LT"/>
              </w:rPr>
              <w:t xml:space="preserve"> VšĮ „Vilniaus festivaliai“ pardavimo kainos koeficientas.</w:t>
            </w:r>
          </w:p>
          <w:p w14:paraId="42E79222" w14:textId="6B68C056" w:rsidR="006F02F3" w:rsidRPr="006B6071" w:rsidRDefault="005E15FF" w:rsidP="007561E8">
            <w:pPr>
              <w:tabs>
                <w:tab w:val="left" w:pos="2970"/>
              </w:tabs>
              <w:jc w:val="both"/>
              <w:rPr>
                <w:color w:val="000000" w:themeColor="text1"/>
                <w:lang w:val="lt-LT"/>
              </w:rPr>
            </w:pPr>
            <w:r w:rsidRPr="006B6071">
              <w:rPr>
                <w:color w:val="000000" w:themeColor="text1"/>
                <w:lang w:val="lt-LT"/>
              </w:rPr>
              <w:t>Galutinė bilieto kaina negali viršyti nustatytos maksimalios bilieto kainos.</w:t>
            </w:r>
          </w:p>
        </w:tc>
      </w:tr>
      <w:tr w:rsidR="006F02F3" w:rsidRPr="00F71A4E" w14:paraId="42E79229" w14:textId="77777777" w:rsidTr="0079413F">
        <w:trPr>
          <w:trHeight w:val="423"/>
        </w:trPr>
        <w:tc>
          <w:tcPr>
            <w:tcW w:w="590" w:type="dxa"/>
            <w:shd w:val="clear" w:color="auto" w:fill="auto"/>
            <w:vAlign w:val="center"/>
          </w:tcPr>
          <w:p w14:paraId="42E79224" w14:textId="77777777" w:rsidR="006F02F3" w:rsidRPr="006B6071" w:rsidRDefault="006F02F3" w:rsidP="0002000C">
            <w:pPr>
              <w:tabs>
                <w:tab w:val="left" w:pos="2970"/>
              </w:tabs>
              <w:jc w:val="center"/>
              <w:rPr>
                <w:color w:val="000000" w:themeColor="text1"/>
                <w:lang w:val="lt-LT"/>
              </w:rPr>
            </w:pPr>
            <w:r w:rsidRPr="006B6071">
              <w:rPr>
                <w:color w:val="000000" w:themeColor="text1"/>
                <w:lang w:val="lt-LT"/>
              </w:rPr>
              <w:t>2.</w:t>
            </w:r>
          </w:p>
        </w:tc>
        <w:tc>
          <w:tcPr>
            <w:tcW w:w="1707" w:type="dxa"/>
            <w:vMerge/>
            <w:shd w:val="clear" w:color="auto" w:fill="auto"/>
            <w:vAlign w:val="center"/>
          </w:tcPr>
          <w:p w14:paraId="42E79225" w14:textId="77777777" w:rsidR="006F02F3" w:rsidRPr="006B6071" w:rsidRDefault="006F02F3" w:rsidP="00BF310F">
            <w:pPr>
              <w:tabs>
                <w:tab w:val="left" w:pos="2970"/>
              </w:tabs>
              <w:ind w:left="-130" w:right="-108"/>
              <w:jc w:val="center"/>
              <w:rPr>
                <w:color w:val="000000" w:themeColor="text1"/>
                <w:lang w:val="lt-LT"/>
              </w:rPr>
            </w:pPr>
          </w:p>
        </w:tc>
        <w:tc>
          <w:tcPr>
            <w:tcW w:w="992" w:type="dxa"/>
            <w:shd w:val="clear" w:color="auto" w:fill="auto"/>
            <w:vAlign w:val="center"/>
          </w:tcPr>
          <w:p w14:paraId="42E79226" w14:textId="77777777" w:rsidR="006F02F3" w:rsidRPr="006B6071" w:rsidRDefault="006F02F3" w:rsidP="0002000C">
            <w:pPr>
              <w:tabs>
                <w:tab w:val="left" w:pos="2970"/>
              </w:tabs>
              <w:ind w:left="-100" w:right="-111"/>
              <w:jc w:val="center"/>
              <w:rPr>
                <w:color w:val="000000" w:themeColor="text1"/>
                <w:lang w:val="lt-LT"/>
              </w:rPr>
            </w:pPr>
            <w:r w:rsidRPr="006B6071">
              <w:rPr>
                <w:color w:val="000000" w:themeColor="text1"/>
                <w:lang w:val="lt-LT"/>
              </w:rPr>
              <w:t>15–50</w:t>
            </w:r>
          </w:p>
        </w:tc>
        <w:tc>
          <w:tcPr>
            <w:tcW w:w="1105" w:type="dxa"/>
            <w:shd w:val="clear" w:color="auto" w:fill="auto"/>
            <w:vAlign w:val="center"/>
          </w:tcPr>
          <w:p w14:paraId="42E79227" w14:textId="77777777" w:rsidR="006F02F3" w:rsidRPr="006B6071" w:rsidRDefault="006F02F3" w:rsidP="0002000C">
            <w:pPr>
              <w:tabs>
                <w:tab w:val="left" w:pos="2970"/>
              </w:tabs>
              <w:ind w:left="-100" w:right="-111"/>
              <w:jc w:val="center"/>
              <w:rPr>
                <w:color w:val="000000" w:themeColor="text1"/>
                <w:lang w:val="lt-LT"/>
              </w:rPr>
            </w:pPr>
            <w:r w:rsidRPr="006B6071">
              <w:rPr>
                <w:color w:val="000000" w:themeColor="text1"/>
                <w:lang w:val="lt-LT"/>
              </w:rPr>
              <w:t>6–10</w:t>
            </w:r>
          </w:p>
        </w:tc>
        <w:tc>
          <w:tcPr>
            <w:tcW w:w="10348" w:type="dxa"/>
            <w:gridSpan w:val="2"/>
            <w:vMerge/>
            <w:shd w:val="clear" w:color="auto" w:fill="auto"/>
            <w:vAlign w:val="center"/>
          </w:tcPr>
          <w:p w14:paraId="42E79228" w14:textId="77777777" w:rsidR="006F02F3" w:rsidRPr="006B6071" w:rsidRDefault="006F02F3" w:rsidP="007561E8">
            <w:pPr>
              <w:tabs>
                <w:tab w:val="left" w:pos="2970"/>
              </w:tabs>
              <w:jc w:val="center"/>
              <w:rPr>
                <w:color w:val="000000" w:themeColor="text1"/>
                <w:lang w:val="lt-LT"/>
              </w:rPr>
            </w:pPr>
          </w:p>
        </w:tc>
      </w:tr>
      <w:tr w:rsidR="006F02F3" w:rsidRPr="00F71A4E" w14:paraId="42E79231" w14:textId="77777777" w:rsidTr="0079413F">
        <w:trPr>
          <w:trHeight w:val="2200"/>
        </w:trPr>
        <w:tc>
          <w:tcPr>
            <w:tcW w:w="590" w:type="dxa"/>
            <w:shd w:val="clear" w:color="auto" w:fill="auto"/>
            <w:vAlign w:val="center"/>
          </w:tcPr>
          <w:p w14:paraId="42E7922A" w14:textId="77777777" w:rsidR="006F02F3" w:rsidRPr="006B6071" w:rsidRDefault="006F02F3" w:rsidP="0002000C">
            <w:pPr>
              <w:tabs>
                <w:tab w:val="left" w:pos="2970"/>
              </w:tabs>
              <w:jc w:val="center"/>
              <w:rPr>
                <w:color w:val="000000" w:themeColor="text1"/>
                <w:lang w:val="lt-LT"/>
              </w:rPr>
            </w:pPr>
            <w:r w:rsidRPr="006B6071">
              <w:rPr>
                <w:color w:val="000000" w:themeColor="text1"/>
                <w:lang w:val="lt-LT"/>
              </w:rPr>
              <w:t>3.</w:t>
            </w:r>
          </w:p>
        </w:tc>
        <w:tc>
          <w:tcPr>
            <w:tcW w:w="1707" w:type="dxa"/>
            <w:vMerge/>
            <w:shd w:val="clear" w:color="auto" w:fill="auto"/>
            <w:vAlign w:val="center"/>
          </w:tcPr>
          <w:p w14:paraId="42E7922B" w14:textId="77777777" w:rsidR="006F02F3" w:rsidRPr="006B6071" w:rsidRDefault="006F02F3" w:rsidP="00BF310F">
            <w:pPr>
              <w:tabs>
                <w:tab w:val="left" w:pos="2970"/>
              </w:tabs>
              <w:ind w:left="-130" w:right="-108"/>
              <w:jc w:val="center"/>
              <w:rPr>
                <w:color w:val="000000" w:themeColor="text1"/>
                <w:lang w:val="lt-LT"/>
              </w:rPr>
            </w:pPr>
          </w:p>
        </w:tc>
        <w:tc>
          <w:tcPr>
            <w:tcW w:w="992" w:type="dxa"/>
            <w:shd w:val="clear" w:color="auto" w:fill="auto"/>
            <w:vAlign w:val="center"/>
          </w:tcPr>
          <w:p w14:paraId="42E7922C" w14:textId="77777777" w:rsidR="006F02F3" w:rsidRPr="006B6071" w:rsidRDefault="006F02F3" w:rsidP="0002000C">
            <w:pPr>
              <w:tabs>
                <w:tab w:val="left" w:pos="2970"/>
              </w:tabs>
              <w:ind w:left="-100" w:right="-111"/>
              <w:jc w:val="center"/>
              <w:rPr>
                <w:color w:val="000000" w:themeColor="text1"/>
                <w:lang w:val="lt-LT"/>
              </w:rPr>
            </w:pPr>
            <w:r w:rsidRPr="006B6071">
              <w:rPr>
                <w:color w:val="000000" w:themeColor="text1"/>
                <w:lang w:val="lt-LT"/>
              </w:rPr>
              <w:t>10–30</w:t>
            </w:r>
          </w:p>
        </w:tc>
        <w:tc>
          <w:tcPr>
            <w:tcW w:w="1105" w:type="dxa"/>
            <w:shd w:val="clear" w:color="auto" w:fill="auto"/>
            <w:vAlign w:val="center"/>
          </w:tcPr>
          <w:p w14:paraId="42E7922D" w14:textId="77777777" w:rsidR="006F02F3" w:rsidRPr="006B6071" w:rsidRDefault="006F02F3" w:rsidP="0002000C">
            <w:pPr>
              <w:tabs>
                <w:tab w:val="left" w:pos="2970"/>
              </w:tabs>
              <w:ind w:left="-100" w:right="-111"/>
              <w:jc w:val="center"/>
              <w:rPr>
                <w:color w:val="000000" w:themeColor="text1"/>
                <w:lang w:val="lt-LT"/>
              </w:rPr>
            </w:pPr>
            <w:r w:rsidRPr="006B6071">
              <w:rPr>
                <w:color w:val="000000" w:themeColor="text1"/>
                <w:lang w:val="lt-LT"/>
              </w:rPr>
              <w:t xml:space="preserve">11–20 </w:t>
            </w:r>
          </w:p>
          <w:p w14:paraId="42E7922E" w14:textId="77777777" w:rsidR="006F02F3" w:rsidRPr="006B6071" w:rsidRDefault="006F02F3" w:rsidP="0002000C">
            <w:pPr>
              <w:tabs>
                <w:tab w:val="left" w:pos="2970"/>
              </w:tabs>
              <w:ind w:left="-100" w:right="-111"/>
              <w:jc w:val="center"/>
              <w:rPr>
                <w:color w:val="000000" w:themeColor="text1"/>
                <w:lang w:val="lt-LT"/>
              </w:rPr>
            </w:pPr>
            <w:r w:rsidRPr="006B6071">
              <w:rPr>
                <w:color w:val="000000" w:themeColor="text1"/>
                <w:lang w:val="lt-LT"/>
              </w:rPr>
              <w:t xml:space="preserve">ir tolesnės eilės </w:t>
            </w:r>
          </w:p>
          <w:p w14:paraId="42E7922F" w14:textId="77777777" w:rsidR="006F02F3" w:rsidRPr="006B6071" w:rsidRDefault="006F02F3" w:rsidP="0002000C">
            <w:pPr>
              <w:tabs>
                <w:tab w:val="left" w:pos="2970"/>
              </w:tabs>
              <w:ind w:left="-100" w:right="-111"/>
              <w:jc w:val="center"/>
              <w:rPr>
                <w:color w:val="000000" w:themeColor="text1"/>
                <w:lang w:val="lt-LT"/>
              </w:rPr>
            </w:pPr>
            <w:r w:rsidRPr="006B6071">
              <w:rPr>
                <w:color w:val="000000" w:themeColor="text1"/>
                <w:lang w:val="lt-LT"/>
              </w:rPr>
              <w:t>(jei yra)</w:t>
            </w:r>
          </w:p>
        </w:tc>
        <w:tc>
          <w:tcPr>
            <w:tcW w:w="10348" w:type="dxa"/>
            <w:gridSpan w:val="2"/>
            <w:vMerge/>
            <w:shd w:val="clear" w:color="auto" w:fill="auto"/>
            <w:vAlign w:val="center"/>
          </w:tcPr>
          <w:p w14:paraId="42E79230" w14:textId="77777777" w:rsidR="006F02F3" w:rsidRPr="006B6071" w:rsidRDefault="006F02F3" w:rsidP="007561E8">
            <w:pPr>
              <w:tabs>
                <w:tab w:val="left" w:pos="2970"/>
              </w:tabs>
              <w:jc w:val="center"/>
              <w:rPr>
                <w:color w:val="000000" w:themeColor="text1"/>
                <w:lang w:val="lt-LT"/>
              </w:rPr>
            </w:pPr>
          </w:p>
        </w:tc>
      </w:tr>
      <w:tr w:rsidR="006F02F3" w:rsidRPr="00F71A4E" w14:paraId="42E79237" w14:textId="77777777" w:rsidTr="0079413F">
        <w:trPr>
          <w:trHeight w:val="406"/>
        </w:trPr>
        <w:tc>
          <w:tcPr>
            <w:tcW w:w="590" w:type="dxa"/>
            <w:shd w:val="clear" w:color="auto" w:fill="auto"/>
            <w:vAlign w:val="center"/>
          </w:tcPr>
          <w:p w14:paraId="42E79232" w14:textId="77777777" w:rsidR="006F02F3" w:rsidRPr="006B6071" w:rsidRDefault="006F02F3" w:rsidP="0002000C">
            <w:pPr>
              <w:tabs>
                <w:tab w:val="left" w:pos="2970"/>
              </w:tabs>
              <w:jc w:val="center"/>
              <w:rPr>
                <w:color w:val="000000" w:themeColor="text1"/>
                <w:lang w:val="lt-LT"/>
              </w:rPr>
            </w:pPr>
            <w:r w:rsidRPr="006B6071">
              <w:rPr>
                <w:color w:val="000000" w:themeColor="text1"/>
                <w:lang w:val="lt-LT"/>
              </w:rPr>
              <w:t>4.</w:t>
            </w:r>
          </w:p>
        </w:tc>
        <w:tc>
          <w:tcPr>
            <w:tcW w:w="1707" w:type="dxa"/>
            <w:vMerge w:val="restart"/>
            <w:shd w:val="clear" w:color="auto" w:fill="auto"/>
            <w:vAlign w:val="center"/>
          </w:tcPr>
          <w:p w14:paraId="75D401BF" w14:textId="77777777" w:rsidR="00BF310F" w:rsidRDefault="00BE756E" w:rsidP="00BF310F">
            <w:pPr>
              <w:tabs>
                <w:tab w:val="left" w:pos="2970"/>
              </w:tabs>
              <w:ind w:left="-130" w:right="-108"/>
              <w:jc w:val="center"/>
              <w:rPr>
                <w:color w:val="000000" w:themeColor="text1"/>
                <w:lang w:val="lt-LT"/>
              </w:rPr>
            </w:pPr>
            <w:r w:rsidRPr="006B6071">
              <w:rPr>
                <w:color w:val="000000" w:themeColor="text1"/>
                <w:lang w:val="lt-LT"/>
              </w:rPr>
              <w:t>P</w:t>
            </w:r>
            <w:r w:rsidR="006F02F3" w:rsidRPr="006B6071">
              <w:rPr>
                <w:color w:val="000000" w:themeColor="text1"/>
                <w:lang w:val="lt-LT"/>
              </w:rPr>
              <w:t xml:space="preserve">asaulinių muzikos garsenybių koncertai ir (ar) įžymių užsienio teatrų, šokio </w:t>
            </w:r>
          </w:p>
          <w:p w14:paraId="3EADC86B" w14:textId="2BEE738F" w:rsidR="00BF310F" w:rsidRDefault="006F02F3" w:rsidP="00BF310F">
            <w:pPr>
              <w:tabs>
                <w:tab w:val="left" w:pos="2970"/>
              </w:tabs>
              <w:ind w:left="-130" w:right="-108"/>
              <w:jc w:val="center"/>
              <w:rPr>
                <w:color w:val="000000" w:themeColor="text1"/>
                <w:lang w:val="lt-LT"/>
              </w:rPr>
            </w:pPr>
            <w:r w:rsidRPr="006B6071">
              <w:rPr>
                <w:color w:val="000000" w:themeColor="text1"/>
                <w:lang w:val="lt-LT"/>
              </w:rPr>
              <w:t xml:space="preserve">trupių </w:t>
            </w:r>
          </w:p>
          <w:p w14:paraId="42E79233" w14:textId="3A49DCF0" w:rsidR="006F02F3" w:rsidRPr="006B6071" w:rsidRDefault="006F02F3" w:rsidP="00BF310F">
            <w:pPr>
              <w:tabs>
                <w:tab w:val="left" w:pos="2970"/>
              </w:tabs>
              <w:ind w:left="-130" w:right="-108"/>
              <w:jc w:val="center"/>
              <w:rPr>
                <w:color w:val="000000" w:themeColor="text1"/>
                <w:lang w:val="lt-LT"/>
              </w:rPr>
            </w:pPr>
            <w:r w:rsidRPr="006B6071">
              <w:rPr>
                <w:color w:val="000000" w:themeColor="text1"/>
                <w:lang w:val="lt-LT"/>
              </w:rPr>
              <w:t>spektakliai</w:t>
            </w:r>
          </w:p>
        </w:tc>
        <w:tc>
          <w:tcPr>
            <w:tcW w:w="992" w:type="dxa"/>
            <w:shd w:val="clear" w:color="auto" w:fill="auto"/>
            <w:vAlign w:val="center"/>
          </w:tcPr>
          <w:p w14:paraId="42E79234" w14:textId="77777777" w:rsidR="006F02F3" w:rsidRPr="006B6071" w:rsidRDefault="006F02F3" w:rsidP="0002000C">
            <w:pPr>
              <w:tabs>
                <w:tab w:val="left" w:pos="2970"/>
              </w:tabs>
              <w:ind w:left="-100" w:right="-111"/>
              <w:jc w:val="center"/>
              <w:rPr>
                <w:color w:val="000000" w:themeColor="text1"/>
                <w:lang w:val="lt-LT"/>
              </w:rPr>
            </w:pPr>
            <w:r w:rsidRPr="006B6071">
              <w:rPr>
                <w:color w:val="000000" w:themeColor="text1"/>
                <w:lang w:val="lt-LT"/>
              </w:rPr>
              <w:t>30–100</w:t>
            </w:r>
          </w:p>
        </w:tc>
        <w:tc>
          <w:tcPr>
            <w:tcW w:w="1105" w:type="dxa"/>
            <w:shd w:val="clear" w:color="auto" w:fill="auto"/>
            <w:vAlign w:val="center"/>
          </w:tcPr>
          <w:p w14:paraId="42E79235" w14:textId="77777777" w:rsidR="006F02F3" w:rsidRPr="006B6071" w:rsidRDefault="006F02F3" w:rsidP="0002000C">
            <w:pPr>
              <w:tabs>
                <w:tab w:val="left" w:pos="2970"/>
              </w:tabs>
              <w:ind w:left="-100" w:right="-111"/>
              <w:jc w:val="center"/>
              <w:rPr>
                <w:color w:val="000000" w:themeColor="text1"/>
                <w:lang w:val="lt-LT"/>
              </w:rPr>
            </w:pPr>
            <w:r w:rsidRPr="006B6071">
              <w:rPr>
                <w:color w:val="000000" w:themeColor="text1"/>
                <w:lang w:val="lt-LT"/>
              </w:rPr>
              <w:t>1–5</w:t>
            </w:r>
          </w:p>
        </w:tc>
        <w:tc>
          <w:tcPr>
            <w:tcW w:w="10348" w:type="dxa"/>
            <w:gridSpan w:val="2"/>
            <w:vMerge w:val="restart"/>
            <w:shd w:val="clear" w:color="auto" w:fill="auto"/>
            <w:vAlign w:val="center"/>
          </w:tcPr>
          <w:p w14:paraId="1497405D" w14:textId="5B9FEFC8" w:rsidR="00D95A73" w:rsidRDefault="00D95A73" w:rsidP="007561E8">
            <w:pPr>
              <w:tabs>
                <w:tab w:val="left" w:pos="2970"/>
              </w:tabs>
              <w:jc w:val="both"/>
              <w:rPr>
                <w:color w:val="000000" w:themeColor="text1"/>
                <w:lang w:val="lt-LT"/>
              </w:rPr>
            </w:pPr>
            <w:r>
              <w:rPr>
                <w:color w:val="000000" w:themeColor="text1"/>
                <w:lang w:val="lt-LT"/>
              </w:rPr>
              <w:t>Tikslios bilietų kainos apskaičiuojamos pagal formulę: PK =</w:t>
            </w:r>
            <w:r w:rsidR="000A259E">
              <w:rPr>
                <w:color w:val="000000" w:themeColor="text1"/>
                <w:lang w:val="lt-LT"/>
              </w:rPr>
              <w:t xml:space="preserve"> </w:t>
            </w:r>
            <w:r w:rsidR="002E2F5F">
              <w:rPr>
                <w:color w:val="000000" w:themeColor="text1"/>
                <w:lang w:val="lt-LT"/>
              </w:rPr>
              <w:t>(</w:t>
            </w:r>
            <w:r w:rsidR="000A259E">
              <w:rPr>
                <w:color w:val="000000" w:themeColor="text1"/>
                <w:lang w:val="lt-LT"/>
              </w:rPr>
              <w:t>P</w:t>
            </w:r>
            <w:r w:rsidR="002E2F5F">
              <w:rPr>
                <w:color w:val="000000" w:themeColor="text1"/>
                <w:lang w:val="lt-LT"/>
              </w:rPr>
              <w:t xml:space="preserve"> +</w:t>
            </w:r>
            <w:r>
              <w:rPr>
                <w:color w:val="000000" w:themeColor="text1"/>
                <w:lang w:val="lt-LT"/>
              </w:rPr>
              <w:t xml:space="preserve"> </w:t>
            </w:r>
            <w:r w:rsidR="002E2F5F">
              <w:rPr>
                <w:color w:val="000000" w:themeColor="text1"/>
                <w:lang w:val="lt-LT"/>
              </w:rPr>
              <w:t>R +</w:t>
            </w:r>
            <w:r w:rsidR="000A259E">
              <w:rPr>
                <w:color w:val="000000" w:themeColor="text1"/>
                <w:lang w:val="lt-LT"/>
              </w:rPr>
              <w:t xml:space="preserve"> KP</w:t>
            </w:r>
            <w:r w:rsidR="002E2F5F">
              <w:rPr>
                <w:color w:val="000000" w:themeColor="text1"/>
                <w:lang w:val="lt-LT"/>
              </w:rPr>
              <w:t>)</w:t>
            </w:r>
            <w:r w:rsidR="000A259E">
              <w:rPr>
                <w:color w:val="000000" w:themeColor="text1"/>
                <w:lang w:val="lt-LT"/>
              </w:rPr>
              <w:t xml:space="preserve"> × k, kur:</w:t>
            </w:r>
          </w:p>
          <w:p w14:paraId="72AE6A65" w14:textId="5B571537" w:rsidR="000A259E" w:rsidRDefault="000A259E" w:rsidP="007561E8">
            <w:pPr>
              <w:tabs>
                <w:tab w:val="left" w:pos="2970"/>
              </w:tabs>
              <w:jc w:val="both"/>
              <w:rPr>
                <w:color w:val="000000" w:themeColor="text1"/>
                <w:lang w:val="lt-LT"/>
              </w:rPr>
            </w:pPr>
            <w:r>
              <w:rPr>
                <w:color w:val="000000" w:themeColor="text1"/>
                <w:lang w:val="lt-LT"/>
              </w:rPr>
              <w:t xml:space="preserve">PK – galutinė </w:t>
            </w:r>
            <w:r w:rsidR="006E0B51">
              <w:rPr>
                <w:color w:val="000000" w:themeColor="text1"/>
                <w:lang w:val="lt-LT"/>
              </w:rPr>
              <w:t xml:space="preserve">pasaulinių </w:t>
            </w:r>
            <w:r>
              <w:rPr>
                <w:color w:val="000000" w:themeColor="text1"/>
                <w:lang w:val="lt-LT"/>
              </w:rPr>
              <w:t xml:space="preserve">muzikos garsenybių koncerto ir (ar) </w:t>
            </w:r>
            <w:r w:rsidRPr="006B6071">
              <w:rPr>
                <w:color w:val="000000" w:themeColor="text1"/>
                <w:lang w:val="lt-LT"/>
              </w:rPr>
              <w:t xml:space="preserve">įžymių užsienio </w:t>
            </w:r>
            <w:r>
              <w:rPr>
                <w:color w:val="000000" w:themeColor="text1"/>
                <w:lang w:val="lt-LT"/>
              </w:rPr>
              <w:t>teatrų, šokio trupių spektaklio bilieto kaina renginio lankytojams;</w:t>
            </w:r>
          </w:p>
          <w:p w14:paraId="4224DBC0" w14:textId="60994B5C" w:rsidR="000A259E" w:rsidRDefault="000A259E" w:rsidP="007561E8">
            <w:pPr>
              <w:tabs>
                <w:tab w:val="left" w:pos="2970"/>
              </w:tabs>
              <w:jc w:val="both"/>
              <w:rPr>
                <w:color w:val="000000" w:themeColor="text1"/>
                <w:lang w:val="lt-LT"/>
              </w:rPr>
            </w:pPr>
            <w:r>
              <w:rPr>
                <w:color w:val="000000" w:themeColor="text1"/>
                <w:lang w:val="lt-LT"/>
              </w:rPr>
              <w:t xml:space="preserve">P – </w:t>
            </w:r>
            <w:r w:rsidR="006F02F3" w:rsidRPr="006B6071">
              <w:rPr>
                <w:color w:val="000000" w:themeColor="text1"/>
                <w:lang w:val="lt-LT"/>
              </w:rPr>
              <w:t xml:space="preserve">pasaulinio garso atlikėjų </w:t>
            </w:r>
            <w:r w:rsidR="00BE756E" w:rsidRPr="006B6071">
              <w:rPr>
                <w:color w:val="000000" w:themeColor="text1"/>
                <w:lang w:val="lt-LT"/>
              </w:rPr>
              <w:t>ir (</w:t>
            </w:r>
            <w:r w:rsidR="006F02F3" w:rsidRPr="006B6071">
              <w:rPr>
                <w:color w:val="000000" w:themeColor="text1"/>
                <w:lang w:val="lt-LT"/>
              </w:rPr>
              <w:t>ar</w:t>
            </w:r>
            <w:r w:rsidR="00BE756E" w:rsidRPr="006B6071">
              <w:rPr>
                <w:color w:val="000000" w:themeColor="text1"/>
                <w:lang w:val="lt-LT"/>
              </w:rPr>
              <w:t>)</w:t>
            </w:r>
            <w:r w:rsidR="006F02F3" w:rsidRPr="006B6071">
              <w:rPr>
                <w:color w:val="000000" w:themeColor="text1"/>
                <w:lang w:val="lt-LT"/>
              </w:rPr>
              <w:t xml:space="preserve"> įžymių užsienio te</w:t>
            </w:r>
            <w:r>
              <w:rPr>
                <w:color w:val="000000" w:themeColor="text1"/>
                <w:lang w:val="lt-LT"/>
              </w:rPr>
              <w:t>atrų, šokio tru</w:t>
            </w:r>
            <w:r w:rsidR="00BF310F">
              <w:rPr>
                <w:color w:val="000000" w:themeColor="text1"/>
                <w:lang w:val="lt-LT"/>
              </w:rPr>
              <w:t>pių atlyginimas</w:t>
            </w:r>
            <w:r>
              <w:rPr>
                <w:color w:val="000000" w:themeColor="text1"/>
                <w:lang w:val="lt-LT"/>
              </w:rPr>
              <w:t xml:space="preserve"> kartu su </w:t>
            </w:r>
            <w:r w:rsidR="006F02F3" w:rsidRPr="006B6071">
              <w:rPr>
                <w:color w:val="000000" w:themeColor="text1"/>
                <w:lang w:val="lt-LT"/>
              </w:rPr>
              <w:t xml:space="preserve">pagal tuo metu Lietuvoje galiojančius įstatymus </w:t>
            </w:r>
            <w:r>
              <w:rPr>
                <w:color w:val="000000" w:themeColor="text1"/>
                <w:lang w:val="lt-LT"/>
              </w:rPr>
              <w:t>nustatytais</w:t>
            </w:r>
            <w:r w:rsidR="006F02F3" w:rsidRPr="006B6071">
              <w:rPr>
                <w:color w:val="000000" w:themeColor="text1"/>
                <w:lang w:val="lt-LT"/>
              </w:rPr>
              <w:t xml:space="preserve"> mokesčiai</w:t>
            </w:r>
            <w:r>
              <w:rPr>
                <w:color w:val="000000" w:themeColor="text1"/>
                <w:lang w:val="lt-LT"/>
              </w:rPr>
              <w:t>s</w:t>
            </w:r>
            <w:r w:rsidR="006F02F3" w:rsidRPr="006B6071">
              <w:rPr>
                <w:color w:val="000000" w:themeColor="text1"/>
                <w:lang w:val="lt-LT"/>
              </w:rPr>
              <w:t xml:space="preserve">, </w:t>
            </w:r>
          </w:p>
          <w:p w14:paraId="62FEDAD5" w14:textId="77777777" w:rsidR="00BF310F" w:rsidRDefault="000A259E" w:rsidP="007561E8">
            <w:pPr>
              <w:tabs>
                <w:tab w:val="left" w:pos="2970"/>
              </w:tabs>
              <w:jc w:val="both"/>
              <w:rPr>
                <w:color w:val="000000" w:themeColor="text1"/>
                <w:lang w:val="lt-LT"/>
              </w:rPr>
            </w:pPr>
            <w:r>
              <w:rPr>
                <w:color w:val="000000" w:themeColor="text1"/>
                <w:lang w:val="lt-LT"/>
              </w:rPr>
              <w:t xml:space="preserve">R – </w:t>
            </w:r>
            <w:r w:rsidR="006F02F3" w:rsidRPr="006B6071">
              <w:rPr>
                <w:color w:val="000000" w:themeColor="text1"/>
                <w:lang w:val="lt-LT"/>
              </w:rPr>
              <w:t>r</w:t>
            </w:r>
            <w:r w:rsidR="00BF310F">
              <w:rPr>
                <w:color w:val="000000" w:themeColor="text1"/>
                <w:lang w:val="lt-LT"/>
              </w:rPr>
              <w:t>enginio įgarsinimo, apšvietimo, reklamos ir viešinimo išlaidos</w:t>
            </w:r>
            <w:r w:rsidR="006F02F3" w:rsidRPr="006B6071">
              <w:rPr>
                <w:color w:val="000000" w:themeColor="text1"/>
                <w:lang w:val="lt-LT"/>
              </w:rPr>
              <w:t>, renginių bilie</w:t>
            </w:r>
            <w:r w:rsidR="00BF310F">
              <w:rPr>
                <w:color w:val="000000" w:themeColor="text1"/>
                <w:lang w:val="lt-LT"/>
              </w:rPr>
              <w:t>tų platinimo komisinis mokestis;</w:t>
            </w:r>
          </w:p>
          <w:p w14:paraId="304E4A52" w14:textId="21F89421" w:rsidR="00BF310F" w:rsidRDefault="00BF310F" w:rsidP="007561E8">
            <w:pPr>
              <w:tabs>
                <w:tab w:val="left" w:pos="2970"/>
              </w:tabs>
              <w:jc w:val="both"/>
              <w:rPr>
                <w:color w:val="000000" w:themeColor="text1"/>
                <w:lang w:val="lt-LT"/>
              </w:rPr>
            </w:pPr>
            <w:r>
              <w:rPr>
                <w:color w:val="000000" w:themeColor="text1"/>
                <w:lang w:val="lt-LT"/>
              </w:rPr>
              <w:t xml:space="preserve">KP – </w:t>
            </w:r>
            <w:r w:rsidR="006F02F3" w:rsidRPr="006B6071">
              <w:rPr>
                <w:color w:val="000000" w:themeColor="text1"/>
                <w:lang w:val="lt-LT"/>
              </w:rPr>
              <w:t>kitos su renginio organizavimu susijusios išlaidos (atlikėjų kelionės, apgyvendinimo ir maitinimo išlaidos, Lietuvos autorių teisių gynimo asociacijos agentūros, užsienio autorinių teisių agentūrų mokesčiai, Lietuvos gretutinių teisių asociacijos mokesčiai ir kitos nenumatyto</w:t>
            </w:r>
            <w:r>
              <w:rPr>
                <w:color w:val="000000" w:themeColor="text1"/>
                <w:lang w:val="lt-LT"/>
              </w:rPr>
              <w:t>s išlaidos);</w:t>
            </w:r>
          </w:p>
          <w:p w14:paraId="3F74855B" w14:textId="00F5CEFD" w:rsidR="00BF310F" w:rsidRDefault="00BF310F" w:rsidP="007561E8">
            <w:pPr>
              <w:tabs>
                <w:tab w:val="left" w:pos="2970"/>
              </w:tabs>
              <w:jc w:val="both"/>
              <w:rPr>
                <w:color w:val="000000" w:themeColor="text1"/>
                <w:lang w:val="lt-LT"/>
              </w:rPr>
            </w:pPr>
            <w:r>
              <w:rPr>
                <w:color w:val="000000" w:themeColor="text1"/>
                <w:lang w:val="lt-LT"/>
              </w:rPr>
              <w:t>k – kainos kintamoji dalis, kurią sudaro VšĮ „Vilniaus festivaliai“ pardavimo kainos koeficientas.</w:t>
            </w:r>
          </w:p>
          <w:p w14:paraId="42E79236" w14:textId="6B3DDDD8" w:rsidR="006F02F3" w:rsidRPr="006B6071" w:rsidRDefault="005E15FF" w:rsidP="007561E8">
            <w:pPr>
              <w:tabs>
                <w:tab w:val="left" w:pos="2970"/>
              </w:tabs>
              <w:jc w:val="both"/>
              <w:rPr>
                <w:color w:val="000000" w:themeColor="text1"/>
                <w:lang w:val="lt-LT"/>
              </w:rPr>
            </w:pPr>
            <w:r w:rsidRPr="006B6071">
              <w:rPr>
                <w:color w:val="000000" w:themeColor="text1"/>
                <w:lang w:val="lt-LT"/>
              </w:rPr>
              <w:t>Galutinė bilieto kaina negali viršyti nustatytos maksimalios bilieto kainos.</w:t>
            </w:r>
          </w:p>
        </w:tc>
      </w:tr>
      <w:tr w:rsidR="006F02F3" w:rsidRPr="00F71A4E" w14:paraId="42E7923D" w14:textId="77777777" w:rsidTr="0079413F">
        <w:trPr>
          <w:trHeight w:val="558"/>
        </w:trPr>
        <w:tc>
          <w:tcPr>
            <w:tcW w:w="590" w:type="dxa"/>
            <w:shd w:val="clear" w:color="auto" w:fill="auto"/>
            <w:vAlign w:val="center"/>
          </w:tcPr>
          <w:p w14:paraId="42E79238" w14:textId="77777777" w:rsidR="006F02F3" w:rsidRPr="006B6071" w:rsidRDefault="006F02F3" w:rsidP="0002000C">
            <w:pPr>
              <w:tabs>
                <w:tab w:val="left" w:pos="2970"/>
              </w:tabs>
              <w:jc w:val="center"/>
              <w:rPr>
                <w:color w:val="000000" w:themeColor="text1"/>
                <w:lang w:val="lt-LT"/>
              </w:rPr>
            </w:pPr>
            <w:r w:rsidRPr="006B6071">
              <w:rPr>
                <w:color w:val="000000" w:themeColor="text1"/>
                <w:lang w:val="lt-LT"/>
              </w:rPr>
              <w:t>5.</w:t>
            </w:r>
          </w:p>
        </w:tc>
        <w:tc>
          <w:tcPr>
            <w:tcW w:w="1707" w:type="dxa"/>
            <w:vMerge/>
            <w:shd w:val="clear" w:color="auto" w:fill="auto"/>
            <w:vAlign w:val="center"/>
          </w:tcPr>
          <w:p w14:paraId="42E79239" w14:textId="77777777" w:rsidR="006F02F3" w:rsidRPr="009A1219" w:rsidRDefault="006F02F3" w:rsidP="0002000C">
            <w:pPr>
              <w:tabs>
                <w:tab w:val="left" w:pos="2970"/>
              </w:tabs>
              <w:jc w:val="center"/>
              <w:rPr>
                <w:highlight w:val="yellow"/>
                <w:lang w:val="lt-LT"/>
              </w:rPr>
            </w:pPr>
          </w:p>
        </w:tc>
        <w:tc>
          <w:tcPr>
            <w:tcW w:w="992" w:type="dxa"/>
            <w:shd w:val="clear" w:color="auto" w:fill="auto"/>
            <w:vAlign w:val="center"/>
          </w:tcPr>
          <w:p w14:paraId="42E7923A" w14:textId="77777777" w:rsidR="006F02F3" w:rsidRPr="006B6071" w:rsidRDefault="006F02F3" w:rsidP="0002000C">
            <w:pPr>
              <w:tabs>
                <w:tab w:val="left" w:pos="2970"/>
              </w:tabs>
              <w:ind w:left="-100" w:right="-111"/>
              <w:jc w:val="center"/>
              <w:rPr>
                <w:color w:val="000000" w:themeColor="text1"/>
                <w:lang w:val="lt-LT"/>
              </w:rPr>
            </w:pPr>
            <w:r w:rsidRPr="006B6071">
              <w:rPr>
                <w:color w:val="000000" w:themeColor="text1"/>
                <w:lang w:val="lt-LT"/>
              </w:rPr>
              <w:t>20–70</w:t>
            </w:r>
          </w:p>
        </w:tc>
        <w:tc>
          <w:tcPr>
            <w:tcW w:w="1105" w:type="dxa"/>
            <w:shd w:val="clear" w:color="auto" w:fill="auto"/>
            <w:vAlign w:val="center"/>
          </w:tcPr>
          <w:p w14:paraId="42E7923B" w14:textId="77777777" w:rsidR="006F02F3" w:rsidRPr="006B6071" w:rsidRDefault="006F02F3" w:rsidP="0002000C">
            <w:pPr>
              <w:tabs>
                <w:tab w:val="left" w:pos="2970"/>
              </w:tabs>
              <w:ind w:left="-100" w:right="-111"/>
              <w:jc w:val="center"/>
              <w:rPr>
                <w:color w:val="000000" w:themeColor="text1"/>
                <w:lang w:val="lt-LT"/>
              </w:rPr>
            </w:pPr>
            <w:r w:rsidRPr="006B6071">
              <w:rPr>
                <w:color w:val="000000" w:themeColor="text1"/>
                <w:lang w:val="lt-LT"/>
              </w:rPr>
              <w:t>6–10</w:t>
            </w:r>
          </w:p>
        </w:tc>
        <w:tc>
          <w:tcPr>
            <w:tcW w:w="10348" w:type="dxa"/>
            <w:gridSpan w:val="2"/>
            <w:vMerge/>
            <w:shd w:val="clear" w:color="auto" w:fill="auto"/>
            <w:vAlign w:val="center"/>
          </w:tcPr>
          <w:p w14:paraId="42E7923C" w14:textId="77777777" w:rsidR="006F02F3" w:rsidRPr="00F71A4E" w:rsidRDefault="006F02F3" w:rsidP="0002000C">
            <w:pPr>
              <w:tabs>
                <w:tab w:val="left" w:pos="2970"/>
              </w:tabs>
              <w:jc w:val="center"/>
              <w:rPr>
                <w:lang w:val="lt-LT"/>
              </w:rPr>
            </w:pPr>
          </w:p>
        </w:tc>
      </w:tr>
      <w:tr w:rsidR="006F02F3" w:rsidRPr="00F71A4E" w14:paraId="42E79245" w14:textId="77777777" w:rsidTr="0079413F">
        <w:trPr>
          <w:trHeight w:val="1258"/>
        </w:trPr>
        <w:tc>
          <w:tcPr>
            <w:tcW w:w="590" w:type="dxa"/>
            <w:shd w:val="clear" w:color="auto" w:fill="auto"/>
            <w:vAlign w:val="center"/>
          </w:tcPr>
          <w:p w14:paraId="42E7923E" w14:textId="77777777" w:rsidR="006F02F3" w:rsidRPr="006B6071" w:rsidRDefault="006F02F3" w:rsidP="0002000C">
            <w:pPr>
              <w:tabs>
                <w:tab w:val="left" w:pos="2970"/>
              </w:tabs>
              <w:jc w:val="center"/>
              <w:rPr>
                <w:color w:val="000000" w:themeColor="text1"/>
                <w:lang w:val="lt-LT"/>
              </w:rPr>
            </w:pPr>
            <w:r w:rsidRPr="006B6071">
              <w:rPr>
                <w:color w:val="000000" w:themeColor="text1"/>
                <w:lang w:val="lt-LT"/>
              </w:rPr>
              <w:t>6.</w:t>
            </w:r>
          </w:p>
        </w:tc>
        <w:tc>
          <w:tcPr>
            <w:tcW w:w="1707" w:type="dxa"/>
            <w:vMerge/>
            <w:shd w:val="clear" w:color="auto" w:fill="auto"/>
            <w:vAlign w:val="center"/>
          </w:tcPr>
          <w:p w14:paraId="42E7923F" w14:textId="77777777" w:rsidR="006F02F3" w:rsidRPr="009A1219" w:rsidRDefault="006F02F3" w:rsidP="0002000C">
            <w:pPr>
              <w:tabs>
                <w:tab w:val="left" w:pos="2970"/>
              </w:tabs>
              <w:jc w:val="center"/>
              <w:rPr>
                <w:highlight w:val="yellow"/>
                <w:lang w:val="lt-LT"/>
              </w:rPr>
            </w:pPr>
          </w:p>
        </w:tc>
        <w:tc>
          <w:tcPr>
            <w:tcW w:w="992" w:type="dxa"/>
            <w:shd w:val="clear" w:color="auto" w:fill="auto"/>
            <w:vAlign w:val="center"/>
          </w:tcPr>
          <w:p w14:paraId="42E79240" w14:textId="77777777" w:rsidR="006F02F3" w:rsidRPr="006B6071" w:rsidRDefault="006F02F3" w:rsidP="0002000C">
            <w:pPr>
              <w:tabs>
                <w:tab w:val="left" w:pos="2970"/>
              </w:tabs>
              <w:ind w:left="-100" w:right="-111"/>
              <w:jc w:val="center"/>
              <w:rPr>
                <w:color w:val="000000" w:themeColor="text1"/>
                <w:lang w:val="lt-LT"/>
              </w:rPr>
            </w:pPr>
            <w:r w:rsidRPr="006B6071">
              <w:rPr>
                <w:color w:val="000000" w:themeColor="text1"/>
                <w:lang w:val="lt-LT"/>
              </w:rPr>
              <w:t>15–40</w:t>
            </w:r>
          </w:p>
        </w:tc>
        <w:tc>
          <w:tcPr>
            <w:tcW w:w="1105" w:type="dxa"/>
            <w:shd w:val="clear" w:color="auto" w:fill="auto"/>
            <w:vAlign w:val="center"/>
          </w:tcPr>
          <w:p w14:paraId="42E79241" w14:textId="77777777" w:rsidR="006F02F3" w:rsidRPr="006B6071" w:rsidRDefault="006F02F3" w:rsidP="0002000C">
            <w:pPr>
              <w:tabs>
                <w:tab w:val="left" w:pos="2970"/>
              </w:tabs>
              <w:ind w:left="-100" w:right="-111"/>
              <w:jc w:val="center"/>
              <w:rPr>
                <w:color w:val="000000" w:themeColor="text1"/>
                <w:lang w:val="lt-LT"/>
              </w:rPr>
            </w:pPr>
            <w:r w:rsidRPr="006B6071">
              <w:rPr>
                <w:color w:val="000000" w:themeColor="text1"/>
                <w:lang w:val="lt-LT"/>
              </w:rPr>
              <w:t xml:space="preserve">11–20 </w:t>
            </w:r>
          </w:p>
          <w:p w14:paraId="42E79242" w14:textId="77777777" w:rsidR="006F02F3" w:rsidRPr="006B6071" w:rsidRDefault="006F02F3" w:rsidP="0002000C">
            <w:pPr>
              <w:tabs>
                <w:tab w:val="left" w:pos="2970"/>
              </w:tabs>
              <w:ind w:left="-100" w:right="-111"/>
              <w:jc w:val="center"/>
              <w:rPr>
                <w:color w:val="000000" w:themeColor="text1"/>
                <w:lang w:val="lt-LT"/>
              </w:rPr>
            </w:pPr>
            <w:r w:rsidRPr="006B6071">
              <w:rPr>
                <w:color w:val="000000" w:themeColor="text1"/>
                <w:lang w:val="lt-LT"/>
              </w:rPr>
              <w:t xml:space="preserve">ir tolesnės eilės </w:t>
            </w:r>
          </w:p>
          <w:p w14:paraId="42E79243" w14:textId="77777777" w:rsidR="006F02F3" w:rsidRPr="006B6071" w:rsidRDefault="006F02F3" w:rsidP="0002000C">
            <w:pPr>
              <w:tabs>
                <w:tab w:val="left" w:pos="2970"/>
              </w:tabs>
              <w:ind w:left="-100" w:right="-111"/>
              <w:jc w:val="center"/>
              <w:rPr>
                <w:color w:val="000000" w:themeColor="text1"/>
                <w:lang w:val="lt-LT"/>
              </w:rPr>
            </w:pPr>
            <w:r w:rsidRPr="006B6071">
              <w:rPr>
                <w:color w:val="000000" w:themeColor="text1"/>
                <w:lang w:val="lt-LT"/>
              </w:rPr>
              <w:t>(jei yra)</w:t>
            </w:r>
          </w:p>
        </w:tc>
        <w:tc>
          <w:tcPr>
            <w:tcW w:w="10348" w:type="dxa"/>
            <w:gridSpan w:val="2"/>
            <w:vMerge/>
            <w:shd w:val="clear" w:color="auto" w:fill="auto"/>
            <w:vAlign w:val="center"/>
          </w:tcPr>
          <w:p w14:paraId="42E79244" w14:textId="77777777" w:rsidR="006F02F3" w:rsidRPr="00F71A4E" w:rsidRDefault="006F02F3" w:rsidP="0002000C">
            <w:pPr>
              <w:tabs>
                <w:tab w:val="left" w:pos="2970"/>
              </w:tabs>
              <w:jc w:val="center"/>
              <w:rPr>
                <w:lang w:val="lt-LT"/>
              </w:rPr>
            </w:pPr>
          </w:p>
        </w:tc>
      </w:tr>
      <w:tr w:rsidR="006F02F3" w:rsidRPr="00F71A4E" w14:paraId="42E79248" w14:textId="77777777" w:rsidTr="006F02F3">
        <w:tc>
          <w:tcPr>
            <w:tcW w:w="590" w:type="dxa"/>
            <w:shd w:val="clear" w:color="auto" w:fill="D9D9D9"/>
            <w:vAlign w:val="center"/>
          </w:tcPr>
          <w:p w14:paraId="42E79246" w14:textId="77777777" w:rsidR="006F02F3" w:rsidRPr="00F71A4E" w:rsidRDefault="006F02F3" w:rsidP="00871BE6">
            <w:pPr>
              <w:tabs>
                <w:tab w:val="left" w:pos="2970"/>
              </w:tabs>
              <w:jc w:val="center"/>
              <w:rPr>
                <w:b/>
                <w:lang w:val="lt-LT"/>
              </w:rPr>
            </w:pPr>
            <w:r>
              <w:rPr>
                <w:b/>
                <w:lang w:val="lt-LT"/>
              </w:rPr>
              <w:t>7.</w:t>
            </w:r>
          </w:p>
        </w:tc>
        <w:tc>
          <w:tcPr>
            <w:tcW w:w="14152" w:type="dxa"/>
            <w:gridSpan w:val="5"/>
            <w:shd w:val="clear" w:color="auto" w:fill="D9D9D9"/>
            <w:vAlign w:val="center"/>
          </w:tcPr>
          <w:p w14:paraId="42E79247" w14:textId="77777777" w:rsidR="006F02F3" w:rsidRPr="00F71A4E" w:rsidRDefault="001F45F0" w:rsidP="0002000C">
            <w:pPr>
              <w:tabs>
                <w:tab w:val="left" w:pos="2970"/>
              </w:tabs>
              <w:rPr>
                <w:b/>
                <w:lang w:val="lt-LT"/>
              </w:rPr>
            </w:pPr>
            <w:r>
              <w:rPr>
                <w:b/>
                <w:lang w:val="lt-LT"/>
              </w:rPr>
              <w:t>Taikomos nuolaidos</w:t>
            </w:r>
          </w:p>
        </w:tc>
      </w:tr>
      <w:tr w:rsidR="006F02F3" w:rsidRPr="00F71A4E" w14:paraId="42E7924C" w14:textId="77777777" w:rsidTr="00871BE6">
        <w:tc>
          <w:tcPr>
            <w:tcW w:w="590" w:type="dxa"/>
            <w:shd w:val="clear" w:color="auto" w:fill="auto"/>
            <w:vAlign w:val="center"/>
          </w:tcPr>
          <w:p w14:paraId="42E79249" w14:textId="77777777" w:rsidR="006F02F3" w:rsidRPr="00F71A4E" w:rsidRDefault="00871BE6" w:rsidP="00871BE6">
            <w:pPr>
              <w:tabs>
                <w:tab w:val="left" w:pos="2970"/>
              </w:tabs>
              <w:jc w:val="center"/>
              <w:rPr>
                <w:lang w:val="lt-LT"/>
              </w:rPr>
            </w:pPr>
            <w:r>
              <w:rPr>
                <w:lang w:val="lt-LT"/>
              </w:rPr>
              <w:t>7.1.</w:t>
            </w:r>
          </w:p>
        </w:tc>
        <w:tc>
          <w:tcPr>
            <w:tcW w:w="7065" w:type="dxa"/>
            <w:gridSpan w:val="4"/>
            <w:shd w:val="clear" w:color="auto" w:fill="auto"/>
            <w:vAlign w:val="center"/>
          </w:tcPr>
          <w:p w14:paraId="42E7924A" w14:textId="77777777" w:rsidR="006F02F3" w:rsidRPr="00F71A4E" w:rsidRDefault="006F02F3" w:rsidP="0002000C">
            <w:pPr>
              <w:tabs>
                <w:tab w:val="left" w:pos="2970"/>
              </w:tabs>
              <w:rPr>
                <w:lang w:val="lt-LT"/>
              </w:rPr>
            </w:pPr>
            <w:r w:rsidRPr="00F71A4E">
              <w:rPr>
                <w:lang w:val="lt-LT"/>
              </w:rPr>
              <w:t xml:space="preserve">Grupei </w:t>
            </w:r>
            <w:r>
              <w:rPr>
                <w:lang w:val="lt-LT"/>
              </w:rPr>
              <w:t xml:space="preserve">nuo 6 </w:t>
            </w:r>
            <w:r w:rsidRPr="00F71A4E">
              <w:rPr>
                <w:lang w:val="lt-LT"/>
              </w:rPr>
              <w:t>iki 10 asmenų</w:t>
            </w:r>
          </w:p>
        </w:tc>
        <w:tc>
          <w:tcPr>
            <w:tcW w:w="7087" w:type="dxa"/>
            <w:shd w:val="clear" w:color="auto" w:fill="auto"/>
            <w:vAlign w:val="center"/>
          </w:tcPr>
          <w:p w14:paraId="42E7924B" w14:textId="77777777" w:rsidR="006F02F3" w:rsidRPr="00F71A4E" w:rsidRDefault="006F02F3" w:rsidP="0002000C">
            <w:pPr>
              <w:tabs>
                <w:tab w:val="left" w:pos="2970"/>
              </w:tabs>
              <w:jc w:val="center"/>
              <w:rPr>
                <w:lang w:val="lt-LT"/>
              </w:rPr>
            </w:pPr>
            <w:r>
              <w:rPr>
                <w:lang w:val="lt-LT"/>
              </w:rPr>
              <w:t>10</w:t>
            </w:r>
            <w:r w:rsidRPr="00F71A4E">
              <w:rPr>
                <w:lang w:val="lt-LT"/>
              </w:rPr>
              <w:t xml:space="preserve"> procentų nuo bilieto kainos</w:t>
            </w:r>
          </w:p>
        </w:tc>
      </w:tr>
      <w:tr w:rsidR="006F02F3" w:rsidRPr="00F71A4E" w14:paraId="42E79250" w14:textId="77777777" w:rsidTr="00871BE6">
        <w:tc>
          <w:tcPr>
            <w:tcW w:w="590" w:type="dxa"/>
            <w:shd w:val="clear" w:color="auto" w:fill="auto"/>
            <w:vAlign w:val="center"/>
          </w:tcPr>
          <w:p w14:paraId="42E7924D" w14:textId="77777777" w:rsidR="006F02F3" w:rsidRPr="00F71A4E" w:rsidRDefault="00871BE6" w:rsidP="00871BE6">
            <w:pPr>
              <w:tabs>
                <w:tab w:val="left" w:pos="2970"/>
              </w:tabs>
              <w:jc w:val="center"/>
              <w:rPr>
                <w:lang w:val="lt-LT"/>
              </w:rPr>
            </w:pPr>
            <w:r>
              <w:rPr>
                <w:lang w:val="lt-LT"/>
              </w:rPr>
              <w:lastRenderedPageBreak/>
              <w:t>7.2.</w:t>
            </w:r>
          </w:p>
        </w:tc>
        <w:tc>
          <w:tcPr>
            <w:tcW w:w="7065" w:type="dxa"/>
            <w:gridSpan w:val="4"/>
            <w:shd w:val="clear" w:color="auto" w:fill="auto"/>
            <w:vAlign w:val="center"/>
          </w:tcPr>
          <w:p w14:paraId="42E7924E" w14:textId="77777777" w:rsidR="006F02F3" w:rsidRPr="00F71A4E" w:rsidRDefault="006F02F3" w:rsidP="0002000C">
            <w:pPr>
              <w:tabs>
                <w:tab w:val="left" w:pos="2970"/>
              </w:tabs>
              <w:rPr>
                <w:lang w:val="lt-LT"/>
              </w:rPr>
            </w:pPr>
            <w:r w:rsidRPr="00F71A4E">
              <w:rPr>
                <w:lang w:val="lt-LT"/>
              </w:rPr>
              <w:t>Grupei daugiau nei 10 asmenų</w:t>
            </w:r>
          </w:p>
        </w:tc>
        <w:tc>
          <w:tcPr>
            <w:tcW w:w="7087" w:type="dxa"/>
            <w:shd w:val="clear" w:color="auto" w:fill="auto"/>
            <w:vAlign w:val="center"/>
          </w:tcPr>
          <w:p w14:paraId="42E7924F" w14:textId="77777777" w:rsidR="006F02F3" w:rsidRPr="00F71A4E" w:rsidRDefault="006F02F3" w:rsidP="0002000C">
            <w:pPr>
              <w:tabs>
                <w:tab w:val="left" w:pos="2970"/>
              </w:tabs>
              <w:jc w:val="center"/>
              <w:rPr>
                <w:lang w:val="lt-LT"/>
              </w:rPr>
            </w:pPr>
            <w:r>
              <w:rPr>
                <w:lang w:val="lt-LT"/>
              </w:rPr>
              <w:t>15</w:t>
            </w:r>
            <w:r w:rsidRPr="00F71A4E">
              <w:rPr>
                <w:lang w:val="lt-LT"/>
              </w:rPr>
              <w:t xml:space="preserve"> procentai nuo bilieto kainos</w:t>
            </w:r>
          </w:p>
        </w:tc>
      </w:tr>
      <w:tr w:rsidR="006F02F3" w:rsidRPr="00F71A4E" w14:paraId="42E79254" w14:textId="77777777" w:rsidTr="00871BE6">
        <w:trPr>
          <w:trHeight w:val="311"/>
        </w:trPr>
        <w:tc>
          <w:tcPr>
            <w:tcW w:w="590" w:type="dxa"/>
            <w:shd w:val="clear" w:color="auto" w:fill="auto"/>
            <w:vAlign w:val="center"/>
          </w:tcPr>
          <w:p w14:paraId="42E79251" w14:textId="77777777" w:rsidR="006F02F3" w:rsidRPr="00F71A4E" w:rsidRDefault="00871BE6" w:rsidP="00871BE6">
            <w:pPr>
              <w:tabs>
                <w:tab w:val="left" w:pos="2970"/>
              </w:tabs>
              <w:jc w:val="center"/>
              <w:rPr>
                <w:lang w:val="lt-LT"/>
              </w:rPr>
            </w:pPr>
            <w:r>
              <w:rPr>
                <w:lang w:val="lt-LT"/>
              </w:rPr>
              <w:t>7.3.</w:t>
            </w:r>
          </w:p>
        </w:tc>
        <w:tc>
          <w:tcPr>
            <w:tcW w:w="7065" w:type="dxa"/>
            <w:gridSpan w:val="4"/>
            <w:shd w:val="clear" w:color="auto" w:fill="auto"/>
            <w:vAlign w:val="center"/>
          </w:tcPr>
          <w:p w14:paraId="42E79252" w14:textId="77777777" w:rsidR="006F02F3" w:rsidRPr="00F71A4E" w:rsidRDefault="006F02F3" w:rsidP="0002000C">
            <w:pPr>
              <w:tabs>
                <w:tab w:val="left" w:pos="2970"/>
              </w:tabs>
              <w:rPr>
                <w:lang w:val="lt-LT"/>
              </w:rPr>
            </w:pPr>
            <w:r w:rsidRPr="00F71A4E">
              <w:rPr>
                <w:lang w:val="lt-LT"/>
              </w:rPr>
              <w:t>Asmenims, pateikusiems moksleivio, studento pažymėjimą</w:t>
            </w:r>
          </w:p>
        </w:tc>
        <w:tc>
          <w:tcPr>
            <w:tcW w:w="7087" w:type="dxa"/>
            <w:shd w:val="clear" w:color="auto" w:fill="auto"/>
            <w:vAlign w:val="center"/>
          </w:tcPr>
          <w:p w14:paraId="42E79253" w14:textId="77777777" w:rsidR="006F02F3" w:rsidRPr="00F71A4E" w:rsidRDefault="006F02F3" w:rsidP="0002000C">
            <w:pPr>
              <w:tabs>
                <w:tab w:val="left" w:pos="2970"/>
              </w:tabs>
              <w:jc w:val="center"/>
              <w:rPr>
                <w:lang w:val="lt-LT"/>
              </w:rPr>
            </w:pPr>
            <w:r>
              <w:rPr>
                <w:lang w:val="lt-LT"/>
              </w:rPr>
              <w:t>2</w:t>
            </w:r>
            <w:r w:rsidRPr="00F71A4E">
              <w:rPr>
                <w:lang w:val="lt-LT"/>
              </w:rPr>
              <w:t>0 procentų nuo bilieto kainos</w:t>
            </w:r>
          </w:p>
        </w:tc>
      </w:tr>
      <w:tr w:rsidR="006F02F3" w:rsidRPr="00F71A4E" w14:paraId="42E79258" w14:textId="77777777" w:rsidTr="00871BE6">
        <w:tc>
          <w:tcPr>
            <w:tcW w:w="590" w:type="dxa"/>
            <w:shd w:val="clear" w:color="auto" w:fill="auto"/>
            <w:vAlign w:val="center"/>
          </w:tcPr>
          <w:p w14:paraId="42E79255" w14:textId="77777777" w:rsidR="006F02F3" w:rsidRPr="00F71A4E" w:rsidRDefault="00871BE6" w:rsidP="00871BE6">
            <w:pPr>
              <w:tabs>
                <w:tab w:val="left" w:pos="2970"/>
              </w:tabs>
              <w:jc w:val="center"/>
              <w:rPr>
                <w:lang w:val="lt-LT"/>
              </w:rPr>
            </w:pPr>
            <w:r>
              <w:rPr>
                <w:lang w:val="lt-LT"/>
              </w:rPr>
              <w:t>7.4.</w:t>
            </w:r>
          </w:p>
        </w:tc>
        <w:tc>
          <w:tcPr>
            <w:tcW w:w="7065" w:type="dxa"/>
            <w:gridSpan w:val="4"/>
            <w:shd w:val="clear" w:color="auto" w:fill="auto"/>
            <w:vAlign w:val="center"/>
          </w:tcPr>
          <w:p w14:paraId="42E79256" w14:textId="77777777" w:rsidR="006F02F3" w:rsidRPr="00F71A4E" w:rsidRDefault="006F02F3" w:rsidP="0002000C">
            <w:pPr>
              <w:tabs>
                <w:tab w:val="left" w:pos="2970"/>
              </w:tabs>
              <w:rPr>
                <w:lang w:val="lt-LT"/>
              </w:rPr>
            </w:pPr>
            <w:r w:rsidRPr="00F71A4E">
              <w:rPr>
                <w:lang w:val="lt-LT"/>
              </w:rPr>
              <w:t>Asmenims, pateikusiems neįgaliojo pažymėjimą</w:t>
            </w:r>
          </w:p>
        </w:tc>
        <w:tc>
          <w:tcPr>
            <w:tcW w:w="7087" w:type="dxa"/>
            <w:shd w:val="clear" w:color="auto" w:fill="auto"/>
            <w:vAlign w:val="center"/>
          </w:tcPr>
          <w:p w14:paraId="42E79257" w14:textId="77777777" w:rsidR="006F02F3" w:rsidRPr="00F71A4E" w:rsidRDefault="006F02F3" w:rsidP="0002000C">
            <w:pPr>
              <w:tabs>
                <w:tab w:val="left" w:pos="2970"/>
              </w:tabs>
              <w:jc w:val="center"/>
              <w:rPr>
                <w:lang w:val="lt-LT"/>
              </w:rPr>
            </w:pPr>
            <w:r>
              <w:rPr>
                <w:lang w:val="lt-LT"/>
              </w:rPr>
              <w:t>2</w:t>
            </w:r>
            <w:r w:rsidRPr="00F71A4E">
              <w:rPr>
                <w:lang w:val="lt-LT"/>
              </w:rPr>
              <w:t>0 procentų nuo bilieto kainos</w:t>
            </w:r>
          </w:p>
        </w:tc>
      </w:tr>
      <w:tr w:rsidR="006F02F3" w:rsidRPr="00F71A4E" w14:paraId="42E7925C" w14:textId="77777777" w:rsidTr="00871BE6">
        <w:tc>
          <w:tcPr>
            <w:tcW w:w="590" w:type="dxa"/>
            <w:shd w:val="clear" w:color="auto" w:fill="auto"/>
            <w:vAlign w:val="center"/>
          </w:tcPr>
          <w:p w14:paraId="42E79259" w14:textId="77777777" w:rsidR="006F02F3" w:rsidRPr="00F71A4E" w:rsidRDefault="00871BE6" w:rsidP="00871BE6">
            <w:pPr>
              <w:tabs>
                <w:tab w:val="left" w:pos="2970"/>
              </w:tabs>
              <w:jc w:val="center"/>
              <w:rPr>
                <w:lang w:val="lt-LT"/>
              </w:rPr>
            </w:pPr>
            <w:r>
              <w:rPr>
                <w:lang w:val="lt-LT"/>
              </w:rPr>
              <w:t>7.5.</w:t>
            </w:r>
          </w:p>
        </w:tc>
        <w:tc>
          <w:tcPr>
            <w:tcW w:w="7065" w:type="dxa"/>
            <w:gridSpan w:val="4"/>
            <w:shd w:val="clear" w:color="auto" w:fill="auto"/>
            <w:vAlign w:val="center"/>
          </w:tcPr>
          <w:p w14:paraId="42E7925A" w14:textId="77777777" w:rsidR="006F02F3" w:rsidRPr="00F71A4E" w:rsidRDefault="006F02F3" w:rsidP="0002000C">
            <w:pPr>
              <w:tabs>
                <w:tab w:val="left" w:pos="2970"/>
              </w:tabs>
              <w:rPr>
                <w:lang w:val="lt-LT"/>
              </w:rPr>
            </w:pPr>
            <w:r w:rsidRPr="00F71A4E">
              <w:rPr>
                <w:lang w:val="lt-LT"/>
              </w:rPr>
              <w:t>Asmenims, pateikusiems senjoro pažymėjimą</w:t>
            </w:r>
          </w:p>
        </w:tc>
        <w:tc>
          <w:tcPr>
            <w:tcW w:w="7087" w:type="dxa"/>
            <w:shd w:val="clear" w:color="auto" w:fill="auto"/>
            <w:vAlign w:val="center"/>
          </w:tcPr>
          <w:p w14:paraId="42E7925B" w14:textId="77777777" w:rsidR="006F02F3" w:rsidRPr="00F71A4E" w:rsidRDefault="006F02F3" w:rsidP="0002000C">
            <w:pPr>
              <w:tabs>
                <w:tab w:val="left" w:pos="2970"/>
              </w:tabs>
              <w:jc w:val="center"/>
              <w:rPr>
                <w:lang w:val="lt-LT"/>
              </w:rPr>
            </w:pPr>
            <w:r>
              <w:rPr>
                <w:lang w:val="lt-LT"/>
              </w:rPr>
              <w:t>2</w:t>
            </w:r>
            <w:r w:rsidRPr="00F71A4E">
              <w:rPr>
                <w:lang w:val="lt-LT"/>
              </w:rPr>
              <w:t>0 procentų nuo bilieto kainos</w:t>
            </w:r>
          </w:p>
        </w:tc>
      </w:tr>
    </w:tbl>
    <w:p w14:paraId="42E7925D" w14:textId="77777777" w:rsidR="006F02F3" w:rsidRDefault="006F02F3" w:rsidP="00BF310F">
      <w:pPr>
        <w:ind w:left="284" w:right="-456"/>
        <w:jc w:val="both"/>
        <w:rPr>
          <w:lang w:val="lt-LT"/>
        </w:rPr>
      </w:pPr>
      <w:r>
        <w:rPr>
          <w:lang w:val="lt-LT"/>
        </w:rPr>
        <w:t xml:space="preserve">* </w:t>
      </w:r>
      <w:r w:rsidRPr="009D1B8E">
        <w:rPr>
          <w:lang w:val="lt-LT"/>
        </w:rPr>
        <w:t>Galutinė renginio bilieto kaina apskaičiuojama 1–6 punktuose nurodytai bilietų kainai pritaikant 7.1–7.5 punktuose nurodytą nuolaidą, jei asmuo (asmenys) turi teisę ją gauti.</w:t>
      </w:r>
      <w:bookmarkStart w:id="1" w:name="part_95c80c07a60440c4924e4da8ed7a6723"/>
      <w:bookmarkStart w:id="2" w:name="part_2888741ab67a4233b87f1c97e18cfc97"/>
      <w:bookmarkEnd w:id="1"/>
      <w:bookmarkEnd w:id="2"/>
      <w:r w:rsidR="009D1B8E" w:rsidRPr="009D1B8E">
        <w:rPr>
          <w:lang w:val="lt-LT"/>
        </w:rPr>
        <w:t xml:space="preserve"> Vadovaujantis Lietuvos Respublikos pridėtinės vertės mokesčio įstatymo 23 straipsnio 1 dalies 2 punkt</w:t>
      </w:r>
      <w:bookmarkStart w:id="3" w:name="part_0d3b5417f0714a61b0e9d213cf59ce7d"/>
      <w:bookmarkEnd w:id="3"/>
      <w:r w:rsidR="009D1B8E" w:rsidRPr="009D1B8E">
        <w:rPr>
          <w:lang w:val="lt-LT"/>
        </w:rPr>
        <w:t>u, prie galutinės 1–6 punktuose nurodytos bilietų kainos teisės aktų nustatyta tvarka nėra sumuojamas paslaugų teikimo metu galiojantis PVM.</w:t>
      </w:r>
    </w:p>
    <w:p w14:paraId="42E7925E" w14:textId="77777777" w:rsidR="00A270D5" w:rsidRPr="006F02F3" w:rsidRDefault="006F02F3" w:rsidP="006F02F3">
      <w:pPr>
        <w:ind w:left="142"/>
        <w:jc w:val="center"/>
        <w:rPr>
          <w:lang w:val="lt-LT"/>
        </w:rPr>
      </w:pPr>
      <w:r>
        <w:rPr>
          <w:lang w:val="lt-LT"/>
        </w:rPr>
        <w:t>______________________</w:t>
      </w:r>
    </w:p>
    <w:sectPr w:rsidR="00A270D5" w:rsidRPr="006F02F3" w:rsidSect="006F02F3">
      <w:headerReference w:type="first" r:id="rId8"/>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3469B" w14:textId="77777777" w:rsidR="00297B28" w:rsidRDefault="00297B28">
      <w:r>
        <w:separator/>
      </w:r>
    </w:p>
  </w:endnote>
  <w:endnote w:type="continuationSeparator" w:id="0">
    <w:p w14:paraId="0A769708" w14:textId="77777777" w:rsidR="00297B28" w:rsidRDefault="0029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83B3D" w14:textId="77777777" w:rsidR="00297B28" w:rsidRDefault="00297B28">
      <w:r>
        <w:separator/>
      </w:r>
    </w:p>
  </w:footnote>
  <w:footnote w:type="continuationSeparator" w:id="0">
    <w:p w14:paraId="6595ED72" w14:textId="77777777" w:rsidR="00297B28" w:rsidRDefault="00297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79263" w14:textId="77777777" w:rsidR="002661C8" w:rsidRDefault="002661C8" w:rsidP="006F02F3">
    <w:pPr>
      <w:pStyle w:val="Antrats"/>
      <w:ind w:left="10632"/>
      <w:jc w:val="both"/>
      <w:rPr>
        <w:lang w:val="lt-LT"/>
      </w:rPr>
    </w:pPr>
    <w:r>
      <w:rPr>
        <w:lang w:val="lt-LT"/>
      </w:rPr>
      <w:t>Vilniaus miesto savivaldybės tarybos</w:t>
    </w:r>
  </w:p>
  <w:p w14:paraId="42E79264" w14:textId="56479838" w:rsidR="002661C8" w:rsidRDefault="002661C8" w:rsidP="006F02F3">
    <w:pPr>
      <w:pStyle w:val="Antrats"/>
      <w:ind w:left="10632"/>
      <w:jc w:val="both"/>
      <w:rPr>
        <w:lang w:val="lt-LT"/>
      </w:rPr>
    </w:pPr>
    <w:r>
      <w:rPr>
        <w:lang w:val="lt-LT"/>
      </w:rPr>
      <w:t>201</w:t>
    </w:r>
    <w:r w:rsidR="009F07F7">
      <w:rPr>
        <w:lang w:val="lt-LT"/>
      </w:rPr>
      <w:t>8</w:t>
    </w:r>
    <w:r>
      <w:rPr>
        <w:lang w:val="lt-LT"/>
      </w:rPr>
      <w:t xml:space="preserve"> m. </w:t>
    </w:r>
    <w:r w:rsidR="009F07F7">
      <w:rPr>
        <w:lang w:val="lt-LT"/>
      </w:rPr>
      <w:t xml:space="preserve">vasario 7 </w:t>
    </w:r>
    <w:r>
      <w:rPr>
        <w:lang w:val="lt-LT"/>
      </w:rPr>
      <w:t>d.</w:t>
    </w:r>
  </w:p>
  <w:p w14:paraId="42E79265" w14:textId="0FC1F8CF" w:rsidR="002661C8" w:rsidRDefault="002661C8" w:rsidP="006F02F3">
    <w:pPr>
      <w:pStyle w:val="Antrats"/>
      <w:ind w:left="10632"/>
      <w:jc w:val="both"/>
      <w:rPr>
        <w:lang w:val="lt-LT"/>
      </w:rPr>
    </w:pPr>
    <w:r>
      <w:rPr>
        <w:lang w:val="lt-LT"/>
      </w:rPr>
      <w:t>sprendimo Nr. 1-</w:t>
    </w:r>
    <w:r w:rsidR="009F07F7">
      <w:rPr>
        <w:lang w:val="lt-LT"/>
      </w:rPr>
      <w:t>1350</w:t>
    </w:r>
  </w:p>
  <w:p w14:paraId="42E79266" w14:textId="77777777" w:rsidR="002661C8" w:rsidRPr="006F02F3" w:rsidRDefault="00BE756E" w:rsidP="006F02F3">
    <w:pPr>
      <w:pStyle w:val="Antrats"/>
      <w:ind w:left="10632"/>
      <w:jc w:val="both"/>
      <w:rPr>
        <w:lang w:val="lt-LT"/>
      </w:rPr>
    </w:pPr>
    <w:r>
      <w:rPr>
        <w:lang w:val="lt-LT"/>
      </w:rPr>
      <w:t>2</w:t>
    </w:r>
    <w:r w:rsidR="00A270D5">
      <w:rPr>
        <w:lang w:val="lt-LT"/>
      </w:rPr>
      <w:t xml:space="preserve"> </w:t>
    </w:r>
    <w:r w:rsidR="006F02F3">
      <w:rPr>
        <w:lang w:val="lt-LT"/>
      </w:rPr>
      <w:t>priedas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B5121"/>
    <w:multiLevelType w:val="multilevel"/>
    <w:tmpl w:val="6EE496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656"/>
        </w:tabs>
        <w:ind w:left="1656" w:hanging="360"/>
      </w:pPr>
      <w:rPr>
        <w:rFonts w:hint="default"/>
      </w:rPr>
    </w:lvl>
    <w:lvl w:ilvl="2">
      <w:start w:val="1"/>
      <w:numFmt w:val="decimal"/>
      <w:lvlText w:val="%1.%2.%3."/>
      <w:lvlJc w:val="left"/>
      <w:pPr>
        <w:tabs>
          <w:tab w:val="num" w:pos="3312"/>
        </w:tabs>
        <w:ind w:left="3312" w:hanging="720"/>
      </w:pPr>
      <w:rPr>
        <w:rFonts w:hint="default"/>
      </w:rPr>
    </w:lvl>
    <w:lvl w:ilvl="3">
      <w:start w:val="1"/>
      <w:numFmt w:val="decimal"/>
      <w:lvlText w:val="%1.%2.%3.%4."/>
      <w:lvlJc w:val="left"/>
      <w:pPr>
        <w:tabs>
          <w:tab w:val="num" w:pos="4608"/>
        </w:tabs>
        <w:ind w:left="4608" w:hanging="720"/>
      </w:pPr>
      <w:rPr>
        <w:rFonts w:hint="default"/>
      </w:rPr>
    </w:lvl>
    <w:lvl w:ilvl="4">
      <w:start w:val="1"/>
      <w:numFmt w:val="decimal"/>
      <w:lvlText w:val="%1.%2.%3.%4.%5."/>
      <w:lvlJc w:val="left"/>
      <w:pPr>
        <w:tabs>
          <w:tab w:val="num" w:pos="6264"/>
        </w:tabs>
        <w:ind w:left="6264" w:hanging="1080"/>
      </w:pPr>
      <w:rPr>
        <w:rFonts w:hint="default"/>
      </w:rPr>
    </w:lvl>
    <w:lvl w:ilvl="5">
      <w:start w:val="1"/>
      <w:numFmt w:val="decimal"/>
      <w:lvlText w:val="%1.%2.%3.%4.%5.%6."/>
      <w:lvlJc w:val="left"/>
      <w:pPr>
        <w:tabs>
          <w:tab w:val="num" w:pos="7560"/>
        </w:tabs>
        <w:ind w:left="7560" w:hanging="1080"/>
      </w:pPr>
      <w:rPr>
        <w:rFonts w:hint="default"/>
      </w:rPr>
    </w:lvl>
    <w:lvl w:ilvl="6">
      <w:start w:val="1"/>
      <w:numFmt w:val="decimal"/>
      <w:lvlText w:val="%1.%2.%3.%4.%5.%6.%7."/>
      <w:lvlJc w:val="left"/>
      <w:pPr>
        <w:tabs>
          <w:tab w:val="num" w:pos="9216"/>
        </w:tabs>
        <w:ind w:left="9216" w:hanging="1440"/>
      </w:pPr>
      <w:rPr>
        <w:rFonts w:hint="default"/>
      </w:rPr>
    </w:lvl>
    <w:lvl w:ilvl="7">
      <w:start w:val="1"/>
      <w:numFmt w:val="decimal"/>
      <w:lvlText w:val="%1.%2.%3.%4.%5.%6.%7.%8."/>
      <w:lvlJc w:val="left"/>
      <w:pPr>
        <w:tabs>
          <w:tab w:val="num" w:pos="10512"/>
        </w:tabs>
        <w:ind w:left="10512" w:hanging="1440"/>
      </w:pPr>
      <w:rPr>
        <w:rFonts w:hint="default"/>
      </w:rPr>
    </w:lvl>
    <w:lvl w:ilvl="8">
      <w:start w:val="1"/>
      <w:numFmt w:val="decimal"/>
      <w:lvlText w:val="%1.%2.%3.%4.%5.%6.%7.%8.%9."/>
      <w:lvlJc w:val="left"/>
      <w:pPr>
        <w:tabs>
          <w:tab w:val="num" w:pos="12168"/>
        </w:tabs>
        <w:ind w:left="12168" w:hanging="1800"/>
      </w:pPr>
      <w:rPr>
        <w:rFonts w:hint="default"/>
      </w:rPr>
    </w:lvl>
  </w:abstractNum>
  <w:abstractNum w:abstractNumId="1" w15:restartNumberingAfterBreak="0">
    <w:nsid w:val="373519E9"/>
    <w:multiLevelType w:val="hybridMultilevel"/>
    <w:tmpl w:val="ADD07D06"/>
    <w:lvl w:ilvl="0" w:tplc="10E23398">
      <w:start w:val="1"/>
      <w:numFmt w:val="upperLetter"/>
      <w:lvlText w:val="%1."/>
      <w:lvlJc w:val="left"/>
      <w:pPr>
        <w:ind w:left="2952" w:hanging="360"/>
      </w:pPr>
      <w:rPr>
        <w:rFonts w:hint="default"/>
      </w:r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2" w15:restartNumberingAfterBreak="0">
    <w:nsid w:val="51C1276A"/>
    <w:multiLevelType w:val="hybridMultilevel"/>
    <w:tmpl w:val="F8600BB6"/>
    <w:lvl w:ilvl="0" w:tplc="43F43906">
      <w:start w:val="3"/>
      <w:numFmt w:val="bullet"/>
      <w:lvlText w:val=""/>
      <w:lvlJc w:val="left"/>
      <w:pPr>
        <w:ind w:left="-66" w:hanging="360"/>
      </w:pPr>
      <w:rPr>
        <w:rFonts w:ascii="Symbol" w:eastAsia="Times New Roman" w:hAnsi="Symbol" w:cs="Times New Roman"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60"/>
    <w:rsid w:val="0000523D"/>
    <w:rsid w:val="0002000C"/>
    <w:rsid w:val="0003022F"/>
    <w:rsid w:val="00040209"/>
    <w:rsid w:val="00055F70"/>
    <w:rsid w:val="00067437"/>
    <w:rsid w:val="0007109A"/>
    <w:rsid w:val="00074EEE"/>
    <w:rsid w:val="00084B6D"/>
    <w:rsid w:val="000A225F"/>
    <w:rsid w:val="000A259E"/>
    <w:rsid w:val="000C14E4"/>
    <w:rsid w:val="000C1F75"/>
    <w:rsid w:val="000D0341"/>
    <w:rsid w:val="000D51A2"/>
    <w:rsid w:val="000E28E1"/>
    <w:rsid w:val="000F032B"/>
    <w:rsid w:val="00121772"/>
    <w:rsid w:val="00126243"/>
    <w:rsid w:val="00150C1C"/>
    <w:rsid w:val="001870A5"/>
    <w:rsid w:val="0019242E"/>
    <w:rsid w:val="001A53A1"/>
    <w:rsid w:val="001A61C8"/>
    <w:rsid w:val="001B58F7"/>
    <w:rsid w:val="001E2784"/>
    <w:rsid w:val="001E2B90"/>
    <w:rsid w:val="001E7BA5"/>
    <w:rsid w:val="001F3907"/>
    <w:rsid w:val="001F45F0"/>
    <w:rsid w:val="00201F3D"/>
    <w:rsid w:val="00231A64"/>
    <w:rsid w:val="00265249"/>
    <w:rsid w:val="002661C8"/>
    <w:rsid w:val="00275437"/>
    <w:rsid w:val="00287644"/>
    <w:rsid w:val="00294B00"/>
    <w:rsid w:val="00297B28"/>
    <w:rsid w:val="002A40B8"/>
    <w:rsid w:val="002C1C34"/>
    <w:rsid w:val="002E2F5F"/>
    <w:rsid w:val="00316E65"/>
    <w:rsid w:val="003351CF"/>
    <w:rsid w:val="00360EE0"/>
    <w:rsid w:val="0036354B"/>
    <w:rsid w:val="0036725D"/>
    <w:rsid w:val="00372932"/>
    <w:rsid w:val="00384E1A"/>
    <w:rsid w:val="003C75BE"/>
    <w:rsid w:val="003D2FEC"/>
    <w:rsid w:val="003D6BF3"/>
    <w:rsid w:val="004145A1"/>
    <w:rsid w:val="004152AD"/>
    <w:rsid w:val="00426B37"/>
    <w:rsid w:val="004A4E3E"/>
    <w:rsid w:val="004B49D5"/>
    <w:rsid w:val="005104F1"/>
    <w:rsid w:val="0051411C"/>
    <w:rsid w:val="005170AC"/>
    <w:rsid w:val="005229F9"/>
    <w:rsid w:val="005259C9"/>
    <w:rsid w:val="005406D2"/>
    <w:rsid w:val="00562C90"/>
    <w:rsid w:val="00582424"/>
    <w:rsid w:val="00582CF5"/>
    <w:rsid w:val="005B38E7"/>
    <w:rsid w:val="005C6068"/>
    <w:rsid w:val="005E03BE"/>
    <w:rsid w:val="005E05AB"/>
    <w:rsid w:val="005E15FF"/>
    <w:rsid w:val="005F1CFC"/>
    <w:rsid w:val="00613A2E"/>
    <w:rsid w:val="00615260"/>
    <w:rsid w:val="006305A5"/>
    <w:rsid w:val="00641952"/>
    <w:rsid w:val="00645883"/>
    <w:rsid w:val="006951B6"/>
    <w:rsid w:val="00697E56"/>
    <w:rsid w:val="006A4502"/>
    <w:rsid w:val="006B6071"/>
    <w:rsid w:val="006D3D17"/>
    <w:rsid w:val="006E0B51"/>
    <w:rsid w:val="006F02F3"/>
    <w:rsid w:val="006F5183"/>
    <w:rsid w:val="0074760C"/>
    <w:rsid w:val="007561E8"/>
    <w:rsid w:val="0078388D"/>
    <w:rsid w:val="00790322"/>
    <w:rsid w:val="0079413F"/>
    <w:rsid w:val="007E1945"/>
    <w:rsid w:val="00801EA4"/>
    <w:rsid w:val="00845546"/>
    <w:rsid w:val="00855878"/>
    <w:rsid w:val="00864169"/>
    <w:rsid w:val="0086663F"/>
    <w:rsid w:val="00871BE6"/>
    <w:rsid w:val="0087309E"/>
    <w:rsid w:val="0088616A"/>
    <w:rsid w:val="008942DF"/>
    <w:rsid w:val="008A2635"/>
    <w:rsid w:val="008A2A6C"/>
    <w:rsid w:val="008A78F3"/>
    <w:rsid w:val="008B5953"/>
    <w:rsid w:val="008D6C55"/>
    <w:rsid w:val="008D71F6"/>
    <w:rsid w:val="008E0021"/>
    <w:rsid w:val="008E354C"/>
    <w:rsid w:val="008F4A02"/>
    <w:rsid w:val="00914D84"/>
    <w:rsid w:val="00933388"/>
    <w:rsid w:val="009433C3"/>
    <w:rsid w:val="00946DD3"/>
    <w:rsid w:val="00981EC1"/>
    <w:rsid w:val="00990717"/>
    <w:rsid w:val="009A0276"/>
    <w:rsid w:val="009C66E8"/>
    <w:rsid w:val="009D1B8E"/>
    <w:rsid w:val="009F07F7"/>
    <w:rsid w:val="00A013FB"/>
    <w:rsid w:val="00A01F75"/>
    <w:rsid w:val="00A24321"/>
    <w:rsid w:val="00A270D5"/>
    <w:rsid w:val="00A27C1D"/>
    <w:rsid w:val="00A36869"/>
    <w:rsid w:val="00A543A2"/>
    <w:rsid w:val="00A90FB9"/>
    <w:rsid w:val="00A9287E"/>
    <w:rsid w:val="00A928D3"/>
    <w:rsid w:val="00AA1412"/>
    <w:rsid w:val="00AE07F3"/>
    <w:rsid w:val="00AE6899"/>
    <w:rsid w:val="00B02BDD"/>
    <w:rsid w:val="00B146CC"/>
    <w:rsid w:val="00B429C9"/>
    <w:rsid w:val="00B440B0"/>
    <w:rsid w:val="00B742A8"/>
    <w:rsid w:val="00B84A98"/>
    <w:rsid w:val="00BA32FE"/>
    <w:rsid w:val="00BE756E"/>
    <w:rsid w:val="00BF310F"/>
    <w:rsid w:val="00BF6ADF"/>
    <w:rsid w:val="00C10AE4"/>
    <w:rsid w:val="00C657A6"/>
    <w:rsid w:val="00C70272"/>
    <w:rsid w:val="00CA2807"/>
    <w:rsid w:val="00CB43C5"/>
    <w:rsid w:val="00CC5E3A"/>
    <w:rsid w:val="00CE3550"/>
    <w:rsid w:val="00CE60B3"/>
    <w:rsid w:val="00D04293"/>
    <w:rsid w:val="00D049A0"/>
    <w:rsid w:val="00D27CAA"/>
    <w:rsid w:val="00D633F6"/>
    <w:rsid w:val="00D81093"/>
    <w:rsid w:val="00D95A73"/>
    <w:rsid w:val="00DF1EAE"/>
    <w:rsid w:val="00E45AC9"/>
    <w:rsid w:val="00E762C9"/>
    <w:rsid w:val="00E77286"/>
    <w:rsid w:val="00E9084B"/>
    <w:rsid w:val="00EA2323"/>
    <w:rsid w:val="00EA7006"/>
    <w:rsid w:val="00EB6AFD"/>
    <w:rsid w:val="00EC24EC"/>
    <w:rsid w:val="00EC31DB"/>
    <w:rsid w:val="00EE4922"/>
    <w:rsid w:val="00F13010"/>
    <w:rsid w:val="00F441DA"/>
    <w:rsid w:val="00F5313A"/>
    <w:rsid w:val="00F5794F"/>
    <w:rsid w:val="00FB12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E7920E"/>
  <w15:docId w15:val="{56E7C936-61DC-4BD3-8BC7-019E3456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9670A3"/>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9670A3"/>
    <w:pPr>
      <w:tabs>
        <w:tab w:val="center" w:pos="4819"/>
        <w:tab w:val="right" w:pos="9638"/>
      </w:tabs>
    </w:pPr>
  </w:style>
  <w:style w:type="paragraph" w:styleId="Porat">
    <w:name w:val="footer"/>
    <w:basedOn w:val="prastasis"/>
    <w:rsid w:val="009670A3"/>
    <w:pPr>
      <w:tabs>
        <w:tab w:val="center" w:pos="4819"/>
        <w:tab w:val="right" w:pos="9638"/>
      </w:tabs>
    </w:pPr>
  </w:style>
  <w:style w:type="table" w:styleId="Lentelstinklelis">
    <w:name w:val="Table Grid"/>
    <w:basedOn w:val="prastojilentel"/>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6951B6"/>
    <w:rPr>
      <w:rFonts w:ascii="Tahoma" w:hAnsi="Tahoma" w:cs="Tahoma"/>
      <w:sz w:val="16"/>
      <w:szCs w:val="16"/>
    </w:rPr>
  </w:style>
  <w:style w:type="character" w:customStyle="1" w:styleId="DebesliotekstasDiagrama">
    <w:name w:val="Debesėlio tekstas Diagrama"/>
    <w:link w:val="Debesliotekstas"/>
    <w:rsid w:val="006951B6"/>
    <w:rPr>
      <w:rFonts w:ascii="Tahoma" w:hAnsi="Tahoma" w:cs="Tahoma"/>
      <w:sz w:val="16"/>
      <w:szCs w:val="16"/>
      <w:lang w:val="en-GB" w:eastAsia="en-US"/>
    </w:rPr>
  </w:style>
  <w:style w:type="paragraph" w:styleId="Sraopastraipa">
    <w:name w:val="List Paragraph"/>
    <w:basedOn w:val="prastasis"/>
    <w:uiPriority w:val="99"/>
    <w:qFormat/>
    <w:rsid w:val="006951B6"/>
    <w:pPr>
      <w:spacing w:line="360" w:lineRule="auto"/>
      <w:ind w:left="720" w:firstLine="425"/>
      <w:contextualSpacing/>
      <w:jc w:val="both"/>
    </w:pPr>
    <w:rPr>
      <w:rFonts w:ascii="Calibri" w:eastAsia="Calibri" w:hAnsi="Calibri"/>
      <w:sz w:val="22"/>
      <w:szCs w:val="22"/>
      <w:lang w:val="en-US"/>
    </w:rPr>
  </w:style>
  <w:style w:type="character" w:customStyle="1" w:styleId="bluebox1">
    <w:name w:val="bluebox1"/>
    <w:basedOn w:val="Numatytasispastraiposriftas"/>
    <w:rsid w:val="006951B6"/>
  </w:style>
  <w:style w:type="paragraph" w:styleId="Pagrindinistekstas">
    <w:name w:val="Body Text"/>
    <w:basedOn w:val="prastasis"/>
    <w:link w:val="PagrindinistekstasDiagrama"/>
    <w:rsid w:val="001A61C8"/>
    <w:pPr>
      <w:jc w:val="center"/>
    </w:pPr>
    <w:rPr>
      <w:b/>
      <w:bCs/>
      <w:noProof/>
      <w:sz w:val="26"/>
      <w:lang w:val="lt-LT"/>
    </w:rPr>
  </w:style>
  <w:style w:type="character" w:customStyle="1" w:styleId="PagrindinistekstasDiagrama">
    <w:name w:val="Pagrindinis tekstas Diagrama"/>
    <w:link w:val="Pagrindinistekstas"/>
    <w:rsid w:val="001A61C8"/>
    <w:rPr>
      <w:b/>
      <w:bCs/>
      <w:noProof/>
      <w:sz w:val="26"/>
      <w:szCs w:val="24"/>
      <w:lang w:val="lt-LT"/>
    </w:rPr>
  </w:style>
  <w:style w:type="paragraph" w:styleId="Betarp">
    <w:name w:val="No Spacing"/>
    <w:qFormat/>
    <w:rsid w:val="00D81093"/>
    <w:rPr>
      <w:sz w:val="24"/>
      <w:szCs w:val="24"/>
      <w:lang w:val="en-GB" w:eastAsia="en-US"/>
    </w:rPr>
  </w:style>
  <w:style w:type="character" w:customStyle="1" w:styleId="AntratsDiagrama">
    <w:name w:val="Antraštės Diagrama"/>
    <w:link w:val="Antrats"/>
    <w:rsid w:val="00A270D5"/>
    <w:rPr>
      <w:sz w:val="24"/>
      <w:szCs w:val="24"/>
      <w:lang w:val="en-GB" w:eastAsia="en-US"/>
    </w:rPr>
  </w:style>
  <w:style w:type="paragraph" w:styleId="Citata">
    <w:name w:val="Quote"/>
    <w:basedOn w:val="prastasis"/>
    <w:next w:val="prastasis"/>
    <w:link w:val="CitataDiagrama"/>
    <w:qFormat/>
    <w:rsid w:val="00BE756E"/>
    <w:pPr>
      <w:spacing w:before="200" w:after="160"/>
      <w:ind w:left="864" w:right="864"/>
      <w:jc w:val="center"/>
    </w:pPr>
    <w:rPr>
      <w:i/>
      <w:iCs/>
      <w:color w:val="404040"/>
    </w:rPr>
  </w:style>
  <w:style w:type="character" w:customStyle="1" w:styleId="CitataDiagrama">
    <w:name w:val="Citata Diagrama"/>
    <w:link w:val="Citata"/>
    <w:rsid w:val="00BE756E"/>
    <w:rPr>
      <w:i/>
      <w:iCs/>
      <w:color w:val="40404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8449C-AA6A-43ED-81B7-601617105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2118</Words>
  <Characters>1208</Characters>
  <Application>Microsoft Office Word</Application>
  <DocSecurity>4</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SINTAGMA</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Daiva Meilutė</cp:lastModifiedBy>
  <cp:revision>2</cp:revision>
  <dcterms:created xsi:type="dcterms:W3CDTF">2018-02-13T08:21:00Z</dcterms:created>
  <dcterms:modified xsi:type="dcterms:W3CDTF">2018-02-13T08:21:00Z</dcterms:modified>
</cp:coreProperties>
</file>